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12" w:rsidRPr="00412D12" w:rsidRDefault="00412D12" w:rsidP="00412D12">
      <w:pPr>
        <w:widowControl/>
        <w:shd w:val="clear" w:color="auto" w:fill="FFFFFF"/>
        <w:rPr>
          <w:rFonts w:ascii="宋体" w:eastAsia="宋体" w:hAnsi="宋体" w:cs="宋体"/>
          <w:color w:val="333333"/>
          <w:kern w:val="0"/>
          <w:sz w:val="24"/>
          <w:szCs w:val="24"/>
        </w:rPr>
      </w:pPr>
      <w:r w:rsidRPr="00412D12">
        <w:rPr>
          <w:rFonts w:ascii="宋体" w:eastAsia="宋体" w:hAnsi="宋体" w:cs="宋体" w:hint="eastAsia"/>
          <w:b/>
          <w:bCs/>
          <w:color w:val="333333"/>
          <w:kern w:val="0"/>
          <w:sz w:val="24"/>
          <w:szCs w:val="24"/>
        </w:rPr>
        <w:t>附件2</w:t>
      </w:r>
    </w:p>
    <w:p w:rsidR="00412D12" w:rsidRPr="00412D12" w:rsidRDefault="00412D12" w:rsidP="00412D12">
      <w:pPr>
        <w:widowControl/>
        <w:shd w:val="clear" w:color="auto" w:fill="FFFFFF"/>
        <w:ind w:firstLine="480"/>
        <w:rPr>
          <w:rFonts w:ascii="宋体" w:eastAsia="宋体" w:hAnsi="宋体" w:cs="宋体"/>
          <w:color w:val="333333"/>
          <w:kern w:val="0"/>
          <w:sz w:val="24"/>
          <w:szCs w:val="24"/>
        </w:rPr>
      </w:pPr>
    </w:p>
    <w:p w:rsidR="00412D12" w:rsidRPr="00412D12" w:rsidRDefault="00412D12" w:rsidP="00412D12">
      <w:pPr>
        <w:widowControl/>
        <w:shd w:val="clear" w:color="auto" w:fill="FFFFFF"/>
        <w:jc w:val="center"/>
        <w:rPr>
          <w:rFonts w:ascii="宋体" w:eastAsia="宋体" w:hAnsi="宋体" w:cs="宋体"/>
          <w:color w:val="333333"/>
          <w:kern w:val="0"/>
          <w:sz w:val="24"/>
          <w:szCs w:val="24"/>
        </w:rPr>
      </w:pPr>
      <w:r w:rsidRPr="00412D12">
        <w:rPr>
          <w:rFonts w:ascii="宋体" w:eastAsia="宋体" w:hAnsi="宋体" w:cs="宋体" w:hint="eastAsia"/>
          <w:b/>
          <w:bCs/>
          <w:color w:val="333333"/>
          <w:kern w:val="0"/>
          <w:sz w:val="36"/>
          <w:szCs w:val="36"/>
        </w:rPr>
        <w:t>国务院决定在营商环境创新试点城市</w:t>
      </w:r>
    </w:p>
    <w:p w:rsidR="00412D12" w:rsidRPr="00412D12" w:rsidRDefault="00412D12" w:rsidP="00412D12">
      <w:pPr>
        <w:widowControl/>
        <w:shd w:val="clear" w:color="auto" w:fill="FFFFFF"/>
        <w:jc w:val="center"/>
        <w:rPr>
          <w:rFonts w:ascii="宋体" w:eastAsia="宋体" w:hAnsi="宋体" w:cs="宋体"/>
          <w:color w:val="333333"/>
          <w:kern w:val="0"/>
          <w:sz w:val="24"/>
          <w:szCs w:val="24"/>
        </w:rPr>
      </w:pPr>
      <w:r w:rsidRPr="00412D12">
        <w:rPr>
          <w:rFonts w:ascii="宋体" w:eastAsia="宋体" w:hAnsi="宋体" w:cs="宋体" w:hint="eastAsia"/>
          <w:b/>
          <w:bCs/>
          <w:color w:val="333333"/>
          <w:kern w:val="0"/>
          <w:sz w:val="36"/>
          <w:szCs w:val="36"/>
        </w:rPr>
        <w:t>暂时调整适用有关行政法规规定目录</w:t>
      </w:r>
    </w:p>
    <w:p w:rsidR="00412D12" w:rsidRPr="00412D12" w:rsidRDefault="00412D12" w:rsidP="00412D12">
      <w:pPr>
        <w:widowControl/>
        <w:shd w:val="clear" w:color="auto" w:fill="FFFFFF"/>
        <w:jc w:val="center"/>
        <w:rPr>
          <w:rFonts w:ascii="宋体" w:eastAsia="宋体" w:hAnsi="宋体" w:cs="宋体"/>
          <w:color w:val="333333"/>
          <w:kern w:val="0"/>
          <w:sz w:val="24"/>
          <w:szCs w:val="24"/>
        </w:rPr>
      </w:pPr>
    </w:p>
    <w:tbl>
      <w:tblPr>
        <w:tblW w:w="9524" w:type="dxa"/>
        <w:jc w:val="center"/>
        <w:tblCellMar>
          <w:left w:w="0" w:type="dxa"/>
          <w:right w:w="0" w:type="dxa"/>
        </w:tblCellMar>
        <w:tblLook w:val="04A0"/>
      </w:tblPr>
      <w:tblGrid>
        <w:gridCol w:w="770"/>
        <w:gridCol w:w="1244"/>
        <w:gridCol w:w="1906"/>
        <w:gridCol w:w="3154"/>
        <w:gridCol w:w="2450"/>
      </w:tblGrid>
      <w:tr w:rsidR="00412D12" w:rsidRPr="00412D12" w:rsidTr="00412D12">
        <w:trPr>
          <w:trHeight w:val="540"/>
          <w:jc w:val="center"/>
        </w:trPr>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序号</w:t>
            </w:r>
          </w:p>
        </w:tc>
        <w:tc>
          <w:tcPr>
            <w:tcW w:w="1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改革事项</w:t>
            </w:r>
          </w:p>
        </w:tc>
        <w:tc>
          <w:tcPr>
            <w:tcW w:w="1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主要内容</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行政法规规定</w:t>
            </w:r>
          </w:p>
        </w:tc>
        <w:tc>
          <w:tcPr>
            <w:tcW w:w="2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jc w:val="center"/>
              <w:textAlignment w:val="center"/>
              <w:rPr>
                <w:rFonts w:ascii="宋体" w:eastAsia="宋体" w:hAnsi="宋体" w:cs="宋体"/>
                <w:kern w:val="0"/>
                <w:sz w:val="24"/>
                <w:szCs w:val="24"/>
              </w:rPr>
            </w:pPr>
            <w:r w:rsidRPr="00412D12">
              <w:rPr>
                <w:rFonts w:ascii="宋体" w:eastAsia="宋体" w:hAnsi="宋体" w:cs="宋体" w:hint="eastAsia"/>
                <w:b/>
                <w:bCs/>
                <w:kern w:val="0"/>
                <w:sz w:val="20"/>
                <w:szCs w:val="20"/>
              </w:rPr>
              <w:t>调整适用情况</w:t>
            </w:r>
          </w:p>
        </w:tc>
      </w:tr>
      <w:tr w:rsidR="00412D12" w:rsidRPr="00412D12" w:rsidTr="00412D12">
        <w:trPr>
          <w:trHeight w:val="6430"/>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1</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优化常用低风险植物和植物产品跨区域流通检疫申请流程</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《植物检疫条例》</w:t>
            </w:r>
            <w:r w:rsidRPr="00412D12">
              <w:rPr>
                <w:rFonts w:ascii="宋体" w:eastAsia="宋体" w:hAnsi="宋体" w:cs="宋体" w:hint="eastAsia"/>
                <w:kern w:val="0"/>
                <w:sz w:val="20"/>
                <w:szCs w:val="20"/>
              </w:rPr>
              <w:br/>
              <w:t xml:space="preserve">　　第十条第一款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允许向试点城市调运必须经过检疫的常用低风险植物和植物产品时，取消调入单位必须事先征得所在地的省、自治区、直辖市植物检疫机构同意的环节，由调入地植物检疫机构在相关信息系统公示和更新检疫要求。调出地植物检疫机构根据公示要求进行检疫并出具检疫证书，企业在收到检疫合格证书后即可调运。</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调整后，试点城市及时公示和更新常用低风险植物和植物产品的检疫要求，并做好对检疫证书的查验审核，完善复检制度，严格把好植物和植物产品跨省调运的检疫关。</w:t>
            </w:r>
          </w:p>
        </w:tc>
      </w:tr>
      <w:tr w:rsidR="00412D12" w:rsidRPr="00412D12" w:rsidTr="00412D12">
        <w:trPr>
          <w:trHeight w:val="6293"/>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2</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优化破产企业土地、房产处置程序</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rPr>
                <w:rFonts w:ascii="宋体" w:eastAsia="宋体" w:hAnsi="宋体" w:cs="宋体"/>
                <w:kern w:val="0"/>
                <w:sz w:val="24"/>
                <w:szCs w:val="24"/>
              </w:rPr>
            </w:pPr>
            <w:r w:rsidRPr="00412D12">
              <w:rPr>
                <w:rFonts w:ascii="宋体" w:eastAsia="宋体" w:hAnsi="宋体" w:cs="宋体" w:hint="eastAsia"/>
                <w:kern w:val="0"/>
                <w:sz w:val="20"/>
                <w:szCs w:val="20"/>
              </w:rPr>
              <w:t>《建设工程质量管理条例》</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第十六条　建设单位收到建设工程竣工报告后，应当组织设计、施工、工程监理等有关单位进行竣工验收。</w:t>
            </w:r>
            <w:r w:rsidRPr="00412D12">
              <w:rPr>
                <w:rFonts w:ascii="宋体" w:eastAsia="宋体" w:hAnsi="宋体" w:cs="宋体"/>
                <w:kern w:val="0"/>
                <w:sz w:val="20"/>
                <w:szCs w:val="20"/>
              </w:rPr>
              <w:br/>
              <w:t xml:space="preserve">　　建设工程竣工验收应当具备下列条件：</w:t>
            </w:r>
            <w:r w:rsidRPr="00412D12">
              <w:rPr>
                <w:rFonts w:ascii="宋体" w:eastAsia="宋体" w:hAnsi="宋体" w:cs="宋体"/>
                <w:kern w:val="0"/>
                <w:sz w:val="20"/>
                <w:szCs w:val="20"/>
              </w:rPr>
              <w:br/>
              <w:t xml:space="preserve">　　（一）完成建设工程设计和合同约定的各项内容；</w:t>
            </w:r>
            <w:r w:rsidRPr="00412D12">
              <w:rPr>
                <w:rFonts w:ascii="宋体" w:eastAsia="宋体" w:hAnsi="宋体" w:cs="宋体"/>
                <w:kern w:val="0"/>
                <w:sz w:val="20"/>
                <w:szCs w:val="20"/>
              </w:rPr>
              <w:br/>
              <w:t xml:space="preserve">　　（二）有完整的技术档案和施工管理资料；</w:t>
            </w:r>
            <w:r w:rsidRPr="00412D12">
              <w:rPr>
                <w:rFonts w:ascii="宋体" w:eastAsia="宋体" w:hAnsi="宋体" w:cs="宋体"/>
                <w:kern w:val="0"/>
                <w:sz w:val="20"/>
                <w:szCs w:val="20"/>
              </w:rPr>
              <w:br/>
              <w:t xml:space="preserve">　　（三）有工程使用的主要建筑材料、建筑构配件和设备的进场试验报告；</w:t>
            </w:r>
            <w:r w:rsidRPr="00412D12">
              <w:rPr>
                <w:rFonts w:ascii="宋体" w:eastAsia="宋体" w:hAnsi="宋体" w:cs="宋体"/>
                <w:kern w:val="0"/>
                <w:sz w:val="20"/>
                <w:szCs w:val="20"/>
              </w:rPr>
              <w:br/>
              <w:t xml:space="preserve">　　（四）有勘察、设计、施工、工程监理等单位分别签署的质量合格文件；</w:t>
            </w:r>
            <w:r w:rsidRPr="00412D12">
              <w:rPr>
                <w:rFonts w:ascii="宋体" w:eastAsia="宋体" w:hAnsi="宋体" w:cs="宋体"/>
                <w:kern w:val="0"/>
                <w:sz w:val="20"/>
                <w:szCs w:val="20"/>
              </w:rPr>
              <w:br/>
              <w:t xml:space="preserve">　　（五）有施工单位签署的工程保修书。</w:t>
            </w:r>
            <w:r w:rsidRPr="00412D12">
              <w:rPr>
                <w:rFonts w:ascii="宋体" w:eastAsia="宋体" w:hAnsi="宋体" w:cs="宋体"/>
                <w:kern w:val="0"/>
                <w:sz w:val="20"/>
                <w:szCs w:val="20"/>
              </w:rPr>
              <w:br/>
              <w:t xml:space="preserve">　　建设工程经验收合格的，方可交付使用。</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试点城市企业破产案件中因债务人资料缺失或第三方机构（如设计、勘察、监理等单位）不配合竣工验收等情形导致无法办理竣工验收的建设工程，经委托有关专业机构对工程质量进行安全鉴定合格后，可办理不动产登记。</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调整后，试点城市明确可直接进行工程质量安全鉴定建设工程的条件。加强对工程质量安全鉴定专业机构的管理，确保相关建设工程满足质量安全要求。</w:t>
            </w:r>
          </w:p>
        </w:tc>
      </w:tr>
      <w:tr w:rsidR="00412D12" w:rsidRPr="00412D12" w:rsidTr="00412D12">
        <w:trPr>
          <w:trHeight w:val="6292"/>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3</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健全企业重整期间信用修复机制</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人民法院裁定批准重整计划的破产企业，可以申请在“信用中国”网站、国家企业信用信息公示系统、金融信用信息基础数据库中添加相关信息，及时反映企业重整情况；有关部门依法依规调整相关信用限制和惩戒措施。</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《企业信息公示暂行条例》</w:t>
            </w:r>
            <w:r w:rsidRPr="00412D12">
              <w:rPr>
                <w:rFonts w:ascii="宋体" w:eastAsia="宋体" w:hAnsi="宋体" w:cs="宋体" w:hint="eastAsia"/>
                <w:kern w:val="0"/>
                <w:sz w:val="20"/>
                <w:szCs w:val="20"/>
              </w:rPr>
              <w:br/>
              <w:t xml:space="preserve">　　第六条第一款　工商行政管理部门应当通过企业信用信息公示系统，公示其在履行职责过程中产生的下列企业信息：</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（一）注册登记、备案信息；</w:t>
            </w:r>
            <w:r w:rsidRPr="00412D12">
              <w:rPr>
                <w:rFonts w:ascii="宋体" w:eastAsia="宋体" w:hAnsi="宋体" w:cs="宋体"/>
                <w:kern w:val="0"/>
                <w:sz w:val="20"/>
                <w:szCs w:val="20"/>
              </w:rPr>
              <w:br/>
              <w:t xml:space="preserve">　　（二）动产抵押登记信息；</w:t>
            </w:r>
            <w:r w:rsidRPr="00412D12">
              <w:rPr>
                <w:rFonts w:ascii="宋体" w:eastAsia="宋体" w:hAnsi="宋体" w:cs="宋体"/>
                <w:kern w:val="0"/>
                <w:sz w:val="20"/>
                <w:szCs w:val="20"/>
              </w:rPr>
              <w:br/>
              <w:t xml:space="preserve">　　（三）股权出质登记信息；</w:t>
            </w:r>
            <w:r w:rsidRPr="00412D12">
              <w:rPr>
                <w:rFonts w:ascii="宋体" w:eastAsia="宋体" w:hAnsi="宋体" w:cs="宋体"/>
                <w:kern w:val="0"/>
                <w:sz w:val="20"/>
                <w:szCs w:val="20"/>
              </w:rPr>
              <w:br/>
              <w:t xml:space="preserve">　　（四）行政处罚信息；</w:t>
            </w:r>
            <w:r w:rsidRPr="00412D12">
              <w:rPr>
                <w:rFonts w:ascii="宋体" w:eastAsia="宋体" w:hAnsi="宋体" w:cs="宋体"/>
                <w:kern w:val="0"/>
                <w:sz w:val="20"/>
                <w:szCs w:val="20"/>
              </w:rPr>
              <w:br/>
              <w:t xml:space="preserve">　　（五）其他依法应当公示的信息。</w:t>
            </w:r>
            <w:r w:rsidRPr="00412D12">
              <w:rPr>
                <w:rFonts w:ascii="宋体" w:eastAsia="宋体" w:hAnsi="宋体" w:cs="宋体"/>
                <w:kern w:val="0"/>
                <w:sz w:val="20"/>
                <w:szCs w:val="20"/>
              </w:rPr>
              <w:br/>
              <w:t xml:space="preserve">　　第七条第一款　工商行政管理部门以外的其他政府部门（以下简称其他政府部门）应当公示其在履行职责过程中产生的下列企业信息：</w:t>
            </w:r>
            <w:r w:rsidRPr="00412D12">
              <w:rPr>
                <w:rFonts w:ascii="宋体" w:eastAsia="宋体" w:hAnsi="宋体" w:cs="宋体"/>
                <w:kern w:val="0"/>
                <w:sz w:val="20"/>
                <w:szCs w:val="20"/>
              </w:rPr>
              <w:br/>
              <w:t xml:space="preserve">　　（一）行政许可准予、变更、</w:t>
            </w:r>
            <w:r w:rsidRPr="00412D12">
              <w:rPr>
                <w:rFonts w:ascii="宋体" w:eastAsia="宋体" w:hAnsi="宋体" w:cs="宋体"/>
                <w:kern w:val="0"/>
                <w:sz w:val="20"/>
                <w:szCs w:val="20"/>
              </w:rPr>
              <w:lastRenderedPageBreak/>
              <w:t>延续信息；</w:t>
            </w:r>
            <w:r w:rsidRPr="00412D12">
              <w:rPr>
                <w:rFonts w:ascii="宋体" w:eastAsia="宋体" w:hAnsi="宋体" w:cs="宋体"/>
                <w:kern w:val="0"/>
                <w:sz w:val="20"/>
                <w:szCs w:val="20"/>
              </w:rPr>
              <w:br/>
              <w:t xml:space="preserve">　　（二）行政处罚信息；</w:t>
            </w:r>
            <w:r w:rsidRPr="00412D12">
              <w:rPr>
                <w:rFonts w:ascii="宋体" w:eastAsia="宋体" w:hAnsi="宋体" w:cs="宋体"/>
                <w:kern w:val="0"/>
                <w:sz w:val="20"/>
                <w:szCs w:val="20"/>
              </w:rPr>
              <w:br/>
              <w:t xml:space="preserve">　　（三）其他依法应当公示的信息。</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暂时调整适用相关内容，试点城市人民法院裁定批准重整计划的破产企业，经征得失信信息认定部门同意后，可申请在相关公共信用网站上添加反映其重整情况的信息和中止公示失信信息。</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调整后，试点城市强化人民法院与市场监管部门等政府部门的协调联动，确保相关企业公示信息真实、准确。同时，对未能完成重整计划的破产企业，要及时在相关公共信用网站更新相关信息。</w:t>
            </w:r>
          </w:p>
        </w:tc>
      </w:tr>
      <w:tr w:rsidR="00412D12" w:rsidRPr="00412D12" w:rsidTr="00412D12">
        <w:trPr>
          <w:trHeight w:val="4242"/>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4</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探索将境内仲裁机构的开庭通知作为签证材料</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允许将境内仲裁机构出具的开庭通知作为境外市场主体进入试点城市参与仲裁活动的签证材料，无需其他邀请函件。</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《中华人民共和国外国人入境出境管理条例》</w:t>
            </w:r>
            <w:r w:rsidRPr="00412D12">
              <w:rPr>
                <w:rFonts w:ascii="宋体" w:eastAsia="宋体" w:hAnsi="宋体" w:cs="宋体" w:hint="eastAsia"/>
                <w:kern w:val="0"/>
                <w:sz w:val="20"/>
                <w:szCs w:val="20"/>
              </w:rPr>
              <w:br/>
              <w:t xml:space="preserve">　　第七条第一款　外国人申请办理签证，应当填写申请表，提交本人的护照或者其他国际旅行证件以及符合规定的照片和申请事由的相关材料。</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w:t>
            </w:r>
            <w:r w:rsidRPr="00412D12">
              <w:rPr>
                <w:rFonts w:ascii="宋体" w:eastAsia="宋体" w:hAnsi="宋体" w:cs="宋体"/>
                <w:kern w:val="0"/>
                <w:sz w:val="20"/>
                <w:szCs w:val="20"/>
              </w:rPr>
              <w:br/>
              <w:t xml:space="preserve">　　（三）申请F字签证，应当提交中国境内的邀请方出具的邀请函件。</w:t>
            </w:r>
            <w:r w:rsidRPr="00412D12">
              <w:rPr>
                <w:rFonts w:ascii="宋体" w:eastAsia="宋体" w:hAnsi="宋体" w:cs="宋体"/>
                <w:kern w:val="0"/>
                <w:sz w:val="20"/>
                <w:szCs w:val="20"/>
              </w:rPr>
              <w:br/>
              <w:t xml:space="preserve">　　……</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暂时调整适用相关内容，允许外国人在申请F字签证进入试点城市参与仲裁活动时，以境内仲裁机构出具的开庭通知作为签证材料，无需提交中国境内邀请方出具的邀请函件。</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调整后，试点城市加强仲裁机构向境外市场主体出具开庭通知的管理，禁止违规出具开庭通知。严格审核入境人员提交的开庭通知，确保材料真实有效。</w:t>
            </w:r>
          </w:p>
        </w:tc>
      </w:tr>
      <w:tr w:rsidR="00412D12" w:rsidRPr="00412D12" w:rsidTr="00412D12">
        <w:trPr>
          <w:trHeight w:val="3183"/>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lastRenderedPageBreak/>
              <w:t>5</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简化对政府采购供应商资格条件的形式审查</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简化对供应商资格条件等的形式审查，不再要求供应商提供相关财务状况、缴纳税收和社会保障资金等证明材料，降低政府采购供应商交易成本。</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《中华人民共和国政府采购法实施条例》</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第十七条第一款　参加政府采购活动的供应商应当具备政府采购法第二十二条第一款规定的条件，提供下列材料：</w:t>
            </w:r>
            <w:r w:rsidRPr="00412D12">
              <w:rPr>
                <w:rFonts w:ascii="宋体" w:eastAsia="宋体" w:hAnsi="宋体" w:cs="宋体"/>
                <w:kern w:val="0"/>
                <w:sz w:val="20"/>
                <w:szCs w:val="20"/>
              </w:rPr>
              <w:br/>
              <w:t xml:space="preserve">　　（一）法人或者其他组织的营业执照等证明文件，自然人的身份证明；</w:t>
            </w:r>
            <w:r w:rsidRPr="00412D12">
              <w:rPr>
                <w:rFonts w:ascii="宋体" w:eastAsia="宋体" w:hAnsi="宋体" w:cs="宋体"/>
                <w:kern w:val="0"/>
                <w:sz w:val="20"/>
                <w:szCs w:val="20"/>
              </w:rPr>
              <w:br/>
              <w:t xml:space="preserve">　　（二）财务状况报告，依法缴纳税收和社会保障资金的相关材料；</w:t>
            </w:r>
            <w:r w:rsidRPr="00412D12">
              <w:rPr>
                <w:rFonts w:ascii="宋体" w:eastAsia="宋体" w:hAnsi="宋体" w:cs="宋体"/>
                <w:kern w:val="0"/>
                <w:sz w:val="20"/>
                <w:szCs w:val="20"/>
              </w:rPr>
              <w:br/>
              <w:t xml:space="preserve">　　……</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暂时调整适用相关内容，允许供应商参加试点城市政府采购时，不再提交财务状况报告、依法缴纳税收和社会保障资金等相关材料。</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调整后，试点城市加强部门间市场主体信息数据共享，加强对供应商在政府采购平台上提交材料真实性的审核，确保供应商符合政府采购规定的条件。</w:t>
            </w:r>
          </w:p>
        </w:tc>
      </w:tr>
      <w:tr w:rsidR="00412D12" w:rsidRPr="00412D12" w:rsidTr="00412D12">
        <w:trPr>
          <w:trHeight w:val="4317"/>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6</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调整小额诉讼程序适用范围及费用</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允许降低适用小额诉讼程序审理的案件受理费标准。</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《诉讼费用交纳办法》</w:t>
            </w:r>
            <w:r w:rsidRPr="00412D12">
              <w:rPr>
                <w:rFonts w:ascii="宋体" w:eastAsia="宋体" w:hAnsi="宋体" w:cs="宋体" w:hint="eastAsia"/>
                <w:kern w:val="0"/>
                <w:sz w:val="20"/>
                <w:szCs w:val="20"/>
              </w:rPr>
              <w:br/>
              <w:t xml:space="preserve">　　第十三条第一款　案件受理费分别按照下列标准交纳：</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（一）财产案件根据诉讼请求的金额或者价额，按照下列比例分段累计交纳：</w:t>
            </w:r>
            <w:r w:rsidRPr="00412D12">
              <w:rPr>
                <w:rFonts w:ascii="宋体" w:eastAsia="宋体" w:hAnsi="宋体" w:cs="宋体"/>
                <w:kern w:val="0"/>
                <w:sz w:val="20"/>
                <w:szCs w:val="20"/>
              </w:rPr>
              <w:br/>
              <w:t xml:space="preserve">　　1.不超过1万元的，每件交纳50元；</w:t>
            </w:r>
            <w:r w:rsidRPr="00412D12">
              <w:rPr>
                <w:rFonts w:ascii="宋体" w:eastAsia="宋体" w:hAnsi="宋体" w:cs="宋体"/>
                <w:kern w:val="0"/>
                <w:sz w:val="20"/>
                <w:szCs w:val="20"/>
              </w:rPr>
              <w:br/>
              <w:t xml:space="preserve">　　2.超过1万元至10万元的部分，按照2.5%交纳；</w:t>
            </w:r>
            <w:r w:rsidRPr="00412D12">
              <w:rPr>
                <w:rFonts w:ascii="宋体" w:eastAsia="宋体" w:hAnsi="宋体" w:cs="宋体"/>
                <w:kern w:val="0"/>
                <w:sz w:val="20"/>
                <w:szCs w:val="20"/>
              </w:rPr>
              <w:br/>
              <w:t xml:space="preserve">　　……</w:t>
            </w:r>
            <w:r w:rsidRPr="00412D12">
              <w:rPr>
                <w:rFonts w:ascii="宋体" w:eastAsia="宋体" w:hAnsi="宋体" w:cs="宋体"/>
                <w:kern w:val="0"/>
                <w:sz w:val="20"/>
                <w:szCs w:val="20"/>
              </w:rPr>
              <w:br/>
              <w:t xml:space="preserve">　　第十六条　适用简易程序审理的案件减半交纳案件受理费。</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暂时调整适用相关内容，允许试点城市降低适用小额诉讼程序审理的案件受理费标准。</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调整后，试点城市明确适用小额诉讼程序审理的案件受理费标准，加强对相关案件和诉讼费用的管理和监督。</w:t>
            </w:r>
          </w:p>
        </w:tc>
      </w:tr>
      <w:tr w:rsidR="00412D12" w:rsidRPr="00412D12" w:rsidTr="00412D12">
        <w:trPr>
          <w:trHeight w:val="3258"/>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center"/>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7</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取消企业内部使用的最高计量标准器具的考核发证及强制检定</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企业内部使用的最高计量标准器具调整为企业自主管理，不需计量行政部门考核发证，也不再实行强制检定，但应满足计量溯源性要求。</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《中华人民共和国计量法实施细则》</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第十条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D12" w:rsidRPr="00412D12" w:rsidRDefault="00412D12" w:rsidP="00412D12">
            <w:pPr>
              <w:widowControl/>
              <w:spacing w:line="360" w:lineRule="atLeast"/>
              <w:ind w:firstLine="400"/>
              <w:jc w:val="left"/>
              <w:textAlignment w:val="center"/>
              <w:rPr>
                <w:rFonts w:ascii="宋体" w:eastAsia="宋体" w:hAnsi="宋体" w:cs="宋体"/>
                <w:kern w:val="0"/>
                <w:sz w:val="24"/>
                <w:szCs w:val="24"/>
              </w:rPr>
            </w:pPr>
            <w:r w:rsidRPr="00412D12">
              <w:rPr>
                <w:rFonts w:ascii="宋体" w:eastAsia="宋体" w:hAnsi="宋体" w:cs="宋体" w:hint="eastAsia"/>
                <w:kern w:val="0"/>
                <w:sz w:val="20"/>
                <w:szCs w:val="20"/>
              </w:rPr>
              <w:t>暂时调整适用相关内容，允许试点城市企业内部使用的最高计量标准器具由企业自主管理，不需计量行政部门考核发证，不再实行强制检定。</w:t>
            </w:r>
            <w:r w:rsidRPr="00412D12">
              <w:rPr>
                <w:rFonts w:ascii="宋体" w:eastAsia="宋体" w:hAnsi="宋体" w:cs="宋体" w:hint="eastAsia"/>
                <w:kern w:val="0"/>
                <w:sz w:val="20"/>
                <w:szCs w:val="20"/>
              </w:rPr>
              <w:br/>
            </w:r>
            <w:r w:rsidRPr="00412D12">
              <w:rPr>
                <w:rFonts w:ascii="宋体" w:eastAsia="宋体" w:hAnsi="宋体" w:cs="宋体"/>
                <w:kern w:val="0"/>
                <w:sz w:val="20"/>
                <w:szCs w:val="20"/>
              </w:rPr>
              <w:t xml:space="preserve">　　调整后，试点城市加强对企业自主管理最高计量标准器具的指导和事中事后监管，确保满足计量溯源性要求和计量标准准确。</w:t>
            </w:r>
          </w:p>
        </w:tc>
      </w:tr>
    </w:tbl>
    <w:p w:rsidR="00EC175B" w:rsidRPr="00412D12" w:rsidRDefault="000824AD"/>
    <w:sectPr w:rsidR="00EC175B" w:rsidRPr="00412D12" w:rsidSect="006B6F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4AD" w:rsidRPr="000C0B58" w:rsidRDefault="000824AD" w:rsidP="004E189E">
      <w:pPr>
        <w:rPr>
          <w:sz w:val="24"/>
        </w:rPr>
      </w:pPr>
      <w:r>
        <w:separator/>
      </w:r>
    </w:p>
  </w:endnote>
  <w:endnote w:type="continuationSeparator" w:id="1">
    <w:p w:rsidR="000824AD" w:rsidRPr="000C0B58" w:rsidRDefault="000824AD" w:rsidP="004E189E">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4AD" w:rsidRPr="000C0B58" w:rsidRDefault="000824AD" w:rsidP="004E189E">
      <w:pPr>
        <w:rPr>
          <w:sz w:val="24"/>
        </w:rPr>
      </w:pPr>
      <w:r>
        <w:separator/>
      </w:r>
    </w:p>
  </w:footnote>
  <w:footnote w:type="continuationSeparator" w:id="1">
    <w:p w:rsidR="000824AD" w:rsidRPr="000C0B58" w:rsidRDefault="000824AD" w:rsidP="004E189E">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2D12"/>
    <w:rsid w:val="000824AD"/>
    <w:rsid w:val="002C5027"/>
    <w:rsid w:val="00412D12"/>
    <w:rsid w:val="004E189E"/>
    <w:rsid w:val="006B6F98"/>
    <w:rsid w:val="00B1008F"/>
    <w:rsid w:val="00E41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F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D1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E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E189E"/>
    <w:rPr>
      <w:sz w:val="18"/>
      <w:szCs w:val="18"/>
    </w:rPr>
  </w:style>
  <w:style w:type="paragraph" w:styleId="a5">
    <w:name w:val="footer"/>
    <w:basedOn w:val="a"/>
    <w:link w:val="Char0"/>
    <w:uiPriority w:val="99"/>
    <w:semiHidden/>
    <w:unhideWhenUsed/>
    <w:rsid w:val="004E189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E189E"/>
    <w:rPr>
      <w:sz w:val="18"/>
      <w:szCs w:val="18"/>
    </w:rPr>
  </w:style>
</w:styles>
</file>

<file path=word/webSettings.xml><?xml version="1.0" encoding="utf-8"?>
<w:webSettings xmlns:r="http://schemas.openxmlformats.org/officeDocument/2006/relationships" xmlns:w="http://schemas.openxmlformats.org/wordprocessingml/2006/main">
  <w:divs>
    <w:div w:id="14550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468</Words>
  <Characters>2668</Characters>
  <Application>Microsoft Office Word</Application>
  <DocSecurity>0</DocSecurity>
  <Lines>22</Lines>
  <Paragraphs>6</Paragraphs>
  <ScaleCrop>false</ScaleCrop>
  <Company>神州网信技术有限公司</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2021-12-14T08:47:00Z</dcterms:created>
  <dcterms:modified xsi:type="dcterms:W3CDTF">2021-12-14T08:48:00Z</dcterms:modified>
</cp:coreProperties>
</file>