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170"/>
        <w:spacing w:before="325" w:line="222" w:lineRule="auto"/>
        <w:outlineLvl w:val="0"/>
        <w:rPr>
          <w:rFonts w:ascii="SimHei" w:hAnsi="SimHei" w:eastAsia="SimHei" w:cs="SimHei"/>
          <w:sz w:val="100"/>
          <w:szCs w:val="100"/>
        </w:rPr>
      </w:pPr>
      <w:r>
        <w:rPr>
          <w:rFonts w:ascii="SimHei" w:hAnsi="SimHei" w:eastAsia="SimHei" w:cs="SimHei"/>
          <w:sz w:val="100"/>
          <w:szCs w:val="100"/>
          <w:spacing w:val="-24"/>
        </w:rPr>
        <w:t>政</w:t>
      </w:r>
      <w:r>
        <w:rPr>
          <w:rFonts w:ascii="SimHei" w:hAnsi="SimHei" w:eastAsia="SimHei" w:cs="SimHei"/>
          <w:sz w:val="100"/>
          <w:szCs w:val="100"/>
          <w:spacing w:val="34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策</w:t>
      </w:r>
      <w:r>
        <w:rPr>
          <w:rFonts w:ascii="SimHei" w:hAnsi="SimHei" w:eastAsia="SimHei" w:cs="SimHei"/>
          <w:sz w:val="100"/>
          <w:szCs w:val="100"/>
          <w:spacing w:val="30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解</w:t>
      </w:r>
      <w:r>
        <w:rPr>
          <w:rFonts w:ascii="SimHei" w:hAnsi="SimHei" w:eastAsia="SimHei" w:cs="SimHei"/>
          <w:sz w:val="100"/>
          <w:szCs w:val="100"/>
          <w:spacing w:val="51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读</w:t>
      </w:r>
    </w:p>
    <w:p>
      <w:pPr>
        <w:ind w:left="238"/>
        <w:spacing w:before="23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5"/>
        </w:rPr>
        <w:t>财产和行为税处（政策解读部门）            2022</w:t>
      </w:r>
      <w:r>
        <w:rPr>
          <w:rFonts w:ascii="SimSun" w:hAnsi="SimSun" w:eastAsia="SimSun" w:cs="SimSun"/>
          <w:sz w:val="31"/>
          <w:szCs w:val="31"/>
          <w:spacing w:val="-4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年</w:t>
      </w:r>
      <w:r>
        <w:rPr>
          <w:rFonts w:ascii="SimSun" w:hAnsi="SimSun" w:eastAsia="SimSun" w:cs="SimSun"/>
          <w:sz w:val="31"/>
          <w:szCs w:val="31"/>
          <w:spacing w:val="-47"/>
        </w:rPr>
        <w:t xml:space="preserve"> </w:t>
      </w:r>
      <w:r>
        <w:rPr>
          <w:rFonts w:ascii="Arial" w:hAnsi="Arial" w:eastAsia="Arial" w:cs="Arial"/>
          <w:sz w:val="31"/>
          <w:szCs w:val="31"/>
          <w:spacing w:val="5"/>
        </w:rPr>
        <w:t>7 </w:t>
      </w:r>
      <w:r>
        <w:rPr>
          <w:rFonts w:ascii="SimSun" w:hAnsi="SimSun" w:eastAsia="SimSun" w:cs="SimSun"/>
          <w:sz w:val="31"/>
          <w:szCs w:val="31"/>
          <w:spacing w:val="5"/>
        </w:rPr>
        <w:t>月</w:t>
      </w:r>
      <w:r>
        <w:rPr>
          <w:rFonts w:ascii="SimSun" w:hAnsi="SimSun" w:eastAsia="SimSun" w:cs="SimSun"/>
          <w:sz w:val="31"/>
          <w:szCs w:val="31"/>
          <w:spacing w:val="-41"/>
        </w:rPr>
        <w:t xml:space="preserve"> </w:t>
      </w:r>
      <w:r>
        <w:rPr>
          <w:rFonts w:ascii="Arial" w:hAnsi="Arial" w:eastAsia="Arial" w:cs="Arial"/>
          <w:sz w:val="31"/>
          <w:szCs w:val="31"/>
          <w:spacing w:val="5"/>
        </w:rPr>
        <w:t>18  </w:t>
      </w:r>
      <w:r>
        <w:rPr>
          <w:rFonts w:ascii="SimSun" w:hAnsi="SimSun" w:eastAsia="SimSun" w:cs="SimSun"/>
          <w:sz w:val="31"/>
          <w:szCs w:val="31"/>
          <w:spacing w:val="5"/>
        </w:rPr>
        <w:t>日</w:t>
      </w:r>
    </w:p>
    <w:p>
      <w:pPr>
        <w:spacing w:before="12" w:line="45" w:lineRule="exact"/>
        <w:rPr/>
      </w:pPr>
      <w:r>
        <w:rPr/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591" w:right="195" w:hanging="1316"/>
        <w:spacing w:before="140" w:line="24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关于《国家税务总局贵州省税务局关于明确印花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税纳税期限等事项的公告》的解读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86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一、公告出台的背景、意义</w:t>
      </w:r>
    </w:p>
    <w:p>
      <w:pPr>
        <w:pStyle w:val="BodyText"/>
        <w:ind w:left="221" w:right="135" w:firstLine="634"/>
        <w:spacing w:before="243" w:line="372" w:lineRule="auto"/>
        <w:rPr/>
      </w:pPr>
      <w:r>
        <w:rPr>
          <w:spacing w:val="10"/>
        </w:rPr>
        <w:t>《中华人民共和国印花税法》第十六条规定：</w:t>
      </w:r>
      <w:r>
        <w:rPr>
          <w:spacing w:val="-77"/>
        </w:rPr>
        <w:t xml:space="preserve"> </w:t>
      </w:r>
      <w:r>
        <w:rPr>
          <w:spacing w:val="10"/>
        </w:rPr>
        <w:t>印花</w:t>
      </w:r>
      <w:r>
        <w:rPr>
          <w:spacing w:val="9"/>
        </w:rPr>
        <w:t>税按季、按</w:t>
      </w:r>
      <w:r>
        <w:rPr/>
        <w:t xml:space="preserve"> </w:t>
      </w:r>
      <w:r>
        <w:rPr>
          <w:spacing w:val="12"/>
        </w:rPr>
        <w:t>年或者按次计征。实行按季、按年计征的，纳税人应当自季度、年</w:t>
      </w:r>
      <w:r>
        <w:rPr>
          <w:spacing w:val="9"/>
        </w:rPr>
        <w:t xml:space="preserve"> </w:t>
      </w:r>
      <w:r>
        <w:rPr>
          <w:spacing w:val="12"/>
        </w:rPr>
        <w:t>度终了之日起十五日内申报缴纳税款；实行按次计征的，纳税人应</w:t>
      </w:r>
    </w:p>
    <w:p>
      <w:pPr>
        <w:pStyle w:val="BodyText"/>
        <w:ind w:left="262"/>
        <w:spacing w:before="1" w:line="222" w:lineRule="auto"/>
        <w:rPr/>
      </w:pPr>
      <w:r>
        <w:rPr>
          <w:spacing w:val="7"/>
        </w:rPr>
        <w:t>当自纳税义务发生之日起十五日内申报缴纳税款。</w:t>
      </w:r>
    </w:p>
    <w:p>
      <w:pPr>
        <w:pStyle w:val="BodyText"/>
        <w:ind w:left="223" w:right="135" w:firstLine="631"/>
        <w:spacing w:before="246" w:line="372" w:lineRule="auto"/>
        <w:rPr/>
      </w:pPr>
      <w:r>
        <w:rPr>
          <w:spacing w:val="13"/>
        </w:rPr>
        <w:t>《国家税务总局关于实施〈中华人民共和国</w:t>
      </w:r>
      <w:r>
        <w:rPr>
          <w:spacing w:val="12"/>
        </w:rPr>
        <w:t>印花税法〉等有关</w:t>
      </w:r>
      <w:r>
        <w:rPr/>
        <w:t xml:space="preserve"> </w:t>
      </w:r>
      <w:r>
        <w:rPr>
          <w:spacing w:val="-2"/>
        </w:rPr>
        <w:t>事项的公告》（国家税务总局公告</w:t>
      </w:r>
      <w:r>
        <w:rPr>
          <w:spacing w:val="-48"/>
        </w:rPr>
        <w:t xml:space="preserve"> </w:t>
      </w:r>
      <w:r>
        <w:rPr>
          <w:spacing w:val="-2"/>
        </w:rPr>
        <w:t>2022</w:t>
      </w:r>
      <w:r>
        <w:rPr>
          <w:spacing w:val="-56"/>
        </w:rPr>
        <w:t xml:space="preserve"> </w:t>
      </w:r>
      <w:r>
        <w:rPr>
          <w:spacing w:val="-2"/>
        </w:rPr>
        <w:t>年第</w:t>
      </w:r>
      <w:r>
        <w:rPr>
          <w:spacing w:val="-41"/>
        </w:rPr>
        <w:t xml:space="preserve"> </w:t>
      </w:r>
      <w:r>
        <w:rPr>
          <w:spacing w:val="-2"/>
        </w:rPr>
        <w:t>14</w:t>
      </w:r>
      <w:r>
        <w:rPr>
          <w:spacing w:val="-46"/>
        </w:rPr>
        <w:t xml:space="preserve"> </w:t>
      </w:r>
      <w:r>
        <w:rPr>
          <w:spacing w:val="-3"/>
        </w:rPr>
        <w:t>号，以下简称“《14</w:t>
      </w:r>
      <w:r>
        <w:rPr/>
        <w:t xml:space="preserve"> </w:t>
      </w:r>
      <w:r>
        <w:rPr>
          <w:spacing w:val="9"/>
        </w:rPr>
        <w:t>号公告》”</w:t>
      </w:r>
      <w:r>
        <w:rPr>
          <w:spacing w:val="-64"/>
        </w:rPr>
        <w:t xml:space="preserve"> </w:t>
      </w:r>
      <w:r>
        <w:rPr>
          <w:spacing w:val="9"/>
        </w:rPr>
        <w:t>）第一条第（三）项规定：应税合同、产权转移书据可</w:t>
      </w:r>
      <w:r>
        <w:rPr/>
        <w:t xml:space="preserve"> </w:t>
      </w:r>
      <w:r>
        <w:rPr>
          <w:spacing w:val="12"/>
        </w:rPr>
        <w:t>以按季或者按次申报缴纳，应税营业账簿可以按年或者按次申报缴</w:t>
      </w:r>
      <w:r>
        <w:rPr>
          <w:spacing w:val="7"/>
        </w:rPr>
        <w:t xml:space="preserve"> </w:t>
      </w:r>
      <w:r>
        <w:rPr>
          <w:spacing w:val="9"/>
        </w:rPr>
        <w:t>纳，具体纳税期限由各省、</w:t>
      </w:r>
      <w:r>
        <w:rPr>
          <w:spacing w:val="-61"/>
        </w:rPr>
        <w:t xml:space="preserve"> </w:t>
      </w:r>
      <w:r>
        <w:rPr>
          <w:spacing w:val="9"/>
        </w:rPr>
        <w:t>自治区、直辖市、计划单列市税务局结</w:t>
      </w:r>
      <w:r>
        <w:rPr/>
        <w:t xml:space="preserve"> </w:t>
      </w:r>
      <w:r>
        <w:rPr>
          <w:spacing w:val="12"/>
        </w:rPr>
        <w:t>合征管实际确定。境外单位或者个人应税凭证印花税，可以按季、</w:t>
      </w:r>
      <w:r>
        <w:rPr>
          <w:spacing w:val="7"/>
        </w:rPr>
        <w:t xml:space="preserve"> </w:t>
      </w:r>
      <w:r>
        <w:rPr>
          <w:spacing w:val="9"/>
        </w:rPr>
        <w:t>按年或者按次申报缴纳，具体纳税期限由各省</w:t>
      </w:r>
      <w:r>
        <w:rPr>
          <w:spacing w:val="8"/>
        </w:rPr>
        <w:t>、</w:t>
      </w:r>
      <w:r>
        <w:rPr>
          <w:spacing w:val="-66"/>
        </w:rPr>
        <w:t xml:space="preserve"> </w:t>
      </w:r>
      <w:r>
        <w:rPr>
          <w:spacing w:val="8"/>
        </w:rPr>
        <w:t>自治区、直辖市、</w:t>
      </w:r>
    </w:p>
    <w:p>
      <w:pPr>
        <w:pStyle w:val="BodyText"/>
        <w:ind w:left="230"/>
        <w:spacing w:line="221" w:lineRule="auto"/>
        <w:rPr/>
      </w:pPr>
      <w:r>
        <w:rPr>
          <w:spacing w:val="8"/>
        </w:rPr>
        <w:t>计划单列市税务局结合征管实际确定。</w:t>
      </w:r>
    </w:p>
    <w:p>
      <w:pPr>
        <w:pStyle w:val="BodyText"/>
        <w:ind w:left="859"/>
        <w:spacing w:before="252" w:line="220" w:lineRule="auto"/>
        <w:rPr/>
      </w:pPr>
      <w:r>
        <w:rPr>
          <w:spacing w:val="12"/>
        </w:rPr>
        <w:t>根据上述规定，为在全省范围内统一执行标准，结合我省印花</w:t>
      </w:r>
    </w:p>
    <w:p>
      <w:pPr>
        <w:spacing w:line="220" w:lineRule="auto"/>
        <w:sectPr>
          <w:footerReference w:type="default" r:id="rId1"/>
          <w:pgSz w:w="11906" w:h="16839"/>
          <w:pgMar w:top="1431" w:right="1150" w:bottom="1217" w:left="1050" w:header="0" w:footer="993" w:gutter="0"/>
        </w:sectPr>
        <w:rPr/>
      </w:pPr>
    </w:p>
    <w:p>
      <w:pPr>
        <w:pStyle w:val="BodyText"/>
        <w:ind w:left="7" w:hanging="3"/>
        <w:spacing w:before="61" w:line="372" w:lineRule="auto"/>
        <w:jc w:val="both"/>
        <w:rPr/>
      </w:pPr>
      <w:r>
        <w:rPr>
          <w:spacing w:val="12"/>
        </w:rPr>
        <w:t>税征管实际，制定下发本公告，明确印花税的具体纳税期限，同时</w:t>
      </w:r>
      <w:r>
        <w:rPr>
          <w:spacing w:val="10"/>
        </w:rPr>
        <w:t xml:space="preserve"> </w:t>
      </w:r>
      <w:r>
        <w:rPr>
          <w:spacing w:val="8"/>
        </w:rPr>
        <w:t>按照《14</w:t>
      </w:r>
      <w:r>
        <w:rPr>
          <w:spacing w:val="-41"/>
        </w:rPr>
        <w:t xml:space="preserve"> </w:t>
      </w:r>
      <w:r>
        <w:rPr>
          <w:spacing w:val="8"/>
        </w:rPr>
        <w:t>号公告》废止有关文件的精神，废止《国家税务总局贵州</w:t>
      </w:r>
      <w:r>
        <w:rPr/>
        <w:t xml:space="preserve"> </w:t>
      </w:r>
      <w:r>
        <w:rPr>
          <w:spacing w:val="12"/>
        </w:rPr>
        <w:t>省税务局关于印花税核定征收有关问题的公告》（国家税务总局贵</w:t>
      </w:r>
    </w:p>
    <w:p>
      <w:pPr>
        <w:pStyle w:val="BodyText"/>
        <w:ind w:left="21"/>
        <w:spacing w:line="222" w:lineRule="auto"/>
        <w:rPr/>
      </w:pPr>
      <w:r>
        <w:rPr>
          <w:spacing w:val="-1"/>
        </w:rPr>
        <w:t>州省税务局公告</w:t>
      </w:r>
      <w:r>
        <w:rPr>
          <w:spacing w:val="-36"/>
        </w:rPr>
        <w:t xml:space="preserve"> </w:t>
      </w:r>
      <w:r>
        <w:rPr>
          <w:spacing w:val="-1"/>
        </w:rPr>
        <w:t>2020</w:t>
      </w:r>
      <w:r>
        <w:rPr>
          <w:spacing w:val="-56"/>
        </w:rPr>
        <w:t xml:space="preserve"> </w:t>
      </w:r>
      <w:r>
        <w:rPr>
          <w:spacing w:val="-1"/>
        </w:rPr>
        <w:t>年第</w:t>
      </w:r>
      <w:r>
        <w:rPr>
          <w:spacing w:val="-46"/>
        </w:rPr>
        <w:t xml:space="preserve"> </w:t>
      </w:r>
      <w:r>
        <w:rPr>
          <w:spacing w:val="-1"/>
        </w:rPr>
        <w:t>8</w:t>
      </w:r>
      <w:r>
        <w:rPr>
          <w:spacing w:val="-48"/>
        </w:rPr>
        <w:t xml:space="preserve"> </w:t>
      </w:r>
      <w:r>
        <w:rPr>
          <w:spacing w:val="-1"/>
        </w:rPr>
        <w:t>号）。</w:t>
      </w:r>
    </w:p>
    <w:p>
      <w:pPr>
        <w:ind w:left="653"/>
        <w:spacing w:before="249" w:line="62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3"/>
        </w:rPr>
        <w:t>二、对公告具体内容的说明</w:t>
      </w:r>
    </w:p>
    <w:p>
      <w:pPr>
        <w:pStyle w:val="BodyText"/>
        <w:ind w:left="640"/>
        <w:spacing w:line="222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一）对公告第一条的说明</w:t>
      </w:r>
    </w:p>
    <w:p>
      <w:pPr>
        <w:pStyle w:val="BodyText"/>
        <w:ind w:right="79" w:firstLine="655"/>
        <w:spacing w:before="247" w:line="372" w:lineRule="auto"/>
        <w:rPr/>
      </w:pPr>
      <w:r>
        <w:rPr>
          <w:spacing w:val="9"/>
        </w:rPr>
        <w:t>近年来，税务部门大力推进放管服改革，着力优化税收营商环</w:t>
      </w:r>
      <w:r>
        <w:rPr>
          <w:spacing w:val="5"/>
        </w:rPr>
        <w:t xml:space="preserve"> </w:t>
      </w:r>
      <w:r>
        <w:rPr>
          <w:spacing w:val="10"/>
        </w:rPr>
        <w:t>境，具体表现之一就是逐步简并征期，减少纳</w:t>
      </w:r>
      <w:r>
        <w:rPr>
          <w:spacing w:val="9"/>
        </w:rPr>
        <w:t>税人申报次数。公告</w:t>
      </w:r>
      <w:r>
        <w:rPr/>
        <w:t xml:space="preserve"> </w:t>
      </w:r>
      <w:r>
        <w:rPr>
          <w:spacing w:val="10"/>
        </w:rPr>
        <w:t>规定境内纳税人书立应税合同、产权转移书据</w:t>
      </w:r>
      <w:r>
        <w:rPr>
          <w:spacing w:val="9"/>
        </w:rPr>
        <w:t>产生的印花税实行按</w:t>
      </w:r>
      <w:r>
        <w:rPr/>
        <w:t xml:space="preserve"> </w:t>
      </w:r>
      <w:r>
        <w:rPr>
          <w:spacing w:val="10"/>
        </w:rPr>
        <w:t>季申报缴纳，在授权范围内最大限度减少了申</w:t>
      </w:r>
      <w:r>
        <w:rPr>
          <w:spacing w:val="9"/>
        </w:rPr>
        <w:t>报频率，有利于减轻</w:t>
      </w:r>
      <w:r>
        <w:rPr/>
        <w:t xml:space="preserve"> </w:t>
      </w:r>
      <w:r>
        <w:rPr>
          <w:spacing w:val="10"/>
        </w:rPr>
        <w:t>纳税人申报负担。对于不经常发生印花税纳税义务，</w:t>
      </w:r>
      <w:r>
        <w:rPr>
          <w:spacing w:val="9"/>
        </w:rPr>
        <w:t>不能按照固定</w:t>
      </w:r>
    </w:p>
    <w:p>
      <w:pPr>
        <w:pStyle w:val="BodyText"/>
        <w:ind w:left="12"/>
        <w:spacing w:before="1" w:line="220" w:lineRule="auto"/>
        <w:rPr/>
      </w:pPr>
      <w:r>
        <w:rPr>
          <w:spacing w:val="8"/>
        </w:rPr>
        <w:t>期限纳税的，可以选择按次申报缴纳。</w:t>
      </w:r>
    </w:p>
    <w:p>
      <w:pPr>
        <w:pStyle w:val="BodyText"/>
        <w:ind w:left="640"/>
        <w:spacing w:before="255" w:line="222" w:lineRule="auto"/>
        <w:rPr/>
      </w:pPr>
      <w:r>
        <w:rPr>
          <w:spacing w:val="3"/>
        </w:rPr>
        <w:t>（</w:t>
      </w:r>
      <w:r>
        <w:rPr>
          <w:spacing w:val="-77"/>
        </w:rPr>
        <w:t xml:space="preserve"> </w:t>
      </w:r>
      <w:r>
        <w:rPr>
          <w:spacing w:val="3"/>
        </w:rPr>
        <w:t>二）对公告第二条的说明</w:t>
      </w:r>
    </w:p>
    <w:p>
      <w:pPr>
        <w:pStyle w:val="BodyText"/>
        <w:ind w:left="7" w:right="79" w:firstLine="657"/>
        <w:spacing w:before="249" w:line="372" w:lineRule="auto"/>
        <w:rPr/>
      </w:pPr>
      <w:r>
        <w:rPr>
          <w:spacing w:val="9"/>
        </w:rPr>
        <w:t>实收资本（股本）、资本公积合计金额发生变化将导</w:t>
      </w:r>
      <w:r>
        <w:rPr>
          <w:spacing w:val="8"/>
        </w:rPr>
        <w:t>致纳税人</w:t>
      </w:r>
      <w:r>
        <w:rPr/>
        <w:t xml:space="preserve"> </w:t>
      </w:r>
      <w:r>
        <w:rPr>
          <w:spacing w:val="9"/>
        </w:rPr>
        <w:t>产生营业账簿印花税纳税义务，此种情形不经常发生，为减少纳税</w:t>
      </w:r>
    </w:p>
    <w:p>
      <w:pPr>
        <w:pStyle w:val="BodyText"/>
        <w:ind w:left="9"/>
        <w:spacing w:line="220" w:lineRule="auto"/>
        <w:rPr/>
      </w:pPr>
      <w:r>
        <w:rPr>
          <w:spacing w:val="9"/>
        </w:rPr>
        <w:t>人申报频率，纳税人的应税营业账簿按年申报缴纳印花</w:t>
      </w:r>
      <w:r>
        <w:rPr>
          <w:spacing w:val="8"/>
        </w:rPr>
        <w:t>税。</w:t>
      </w:r>
    </w:p>
    <w:p>
      <w:pPr>
        <w:pStyle w:val="BodyText"/>
        <w:ind w:left="640"/>
        <w:spacing w:before="255" w:line="222" w:lineRule="auto"/>
        <w:rPr/>
      </w:pPr>
      <w:r>
        <w:rPr>
          <w:spacing w:val="9"/>
        </w:rPr>
        <w:t>（三）对公告第三条的说明</w:t>
      </w:r>
    </w:p>
    <w:p>
      <w:pPr>
        <w:pStyle w:val="BodyText"/>
        <w:ind w:left="17" w:right="79" w:firstLine="623"/>
        <w:spacing w:before="249" w:line="372" w:lineRule="auto"/>
        <w:rPr/>
      </w:pPr>
      <w:r>
        <w:rPr>
          <w:spacing w:val="10"/>
        </w:rPr>
        <w:t>境外单位或者个人书立应税凭证属于偶发性业</w:t>
      </w:r>
      <w:r>
        <w:rPr>
          <w:spacing w:val="9"/>
        </w:rPr>
        <w:t>务，适宜采用按</w:t>
      </w:r>
      <w:r>
        <w:rPr/>
        <w:t xml:space="preserve"> </w:t>
      </w:r>
      <w:r>
        <w:rPr>
          <w:spacing w:val="6"/>
        </w:rPr>
        <w:t>次申报缴纳的方式。</w:t>
      </w:r>
      <w:r>
        <w:rPr>
          <w:spacing w:val="-65"/>
        </w:rPr>
        <w:t xml:space="preserve"> </w:t>
      </w:r>
      <w:r>
        <w:rPr>
          <w:spacing w:val="6"/>
        </w:rPr>
        <w:t>同时，考虑到境外单位和个人在境内有代理人</w:t>
      </w:r>
      <w:r>
        <w:rPr/>
        <w:t xml:space="preserve"> </w:t>
      </w:r>
      <w:r>
        <w:rPr>
          <w:spacing w:val="9"/>
        </w:rPr>
        <w:t>即扣缴义务人的情况，其应税凭证扣缴期限与扣缴义务人的印花税</w:t>
      </w:r>
    </w:p>
    <w:p>
      <w:pPr>
        <w:pStyle w:val="BodyText"/>
        <w:ind w:left="15"/>
        <w:spacing w:line="221" w:lineRule="auto"/>
        <w:rPr/>
      </w:pPr>
      <w:r>
        <w:rPr>
          <w:spacing w:val="5"/>
        </w:rPr>
        <w:t>纳税期限保持一致，</w:t>
      </w:r>
      <w:r>
        <w:rPr>
          <w:spacing w:val="-78"/>
        </w:rPr>
        <w:t xml:space="preserve"> </w:t>
      </w:r>
      <w:r>
        <w:rPr>
          <w:spacing w:val="5"/>
        </w:rPr>
        <w:t>以方便扣缴义务人代扣代缴。</w:t>
      </w:r>
    </w:p>
    <w:p>
      <w:pPr>
        <w:pStyle w:val="BodyText"/>
        <w:ind w:left="640"/>
        <w:spacing w:before="253" w:line="222" w:lineRule="auto"/>
        <w:rPr/>
      </w:pPr>
      <w:r>
        <w:rPr>
          <w:spacing w:val="9"/>
        </w:rPr>
        <w:t>（四）对公告第四条的说明</w:t>
      </w:r>
    </w:p>
    <w:p>
      <w:pPr>
        <w:spacing w:line="222" w:lineRule="auto"/>
        <w:sectPr>
          <w:footerReference w:type="default" r:id="rId3"/>
          <w:pgSz w:w="11906" w:h="16839"/>
          <w:pgMar w:top="1251" w:right="1286" w:bottom="1216" w:left="1265" w:header="0" w:footer="993" w:gutter="0"/>
        </w:sectPr>
        <w:rPr/>
      </w:pPr>
    </w:p>
    <w:p>
      <w:pPr>
        <w:pStyle w:val="BodyText"/>
        <w:ind w:left="6" w:right="100" w:firstLine="668"/>
        <w:spacing w:before="60" w:line="372" w:lineRule="auto"/>
        <w:rPr/>
      </w:pPr>
      <w:r>
        <w:rPr>
          <w:spacing w:val="-3"/>
        </w:rPr>
        <w:t>明确本公告自</w:t>
      </w:r>
      <w:r>
        <w:rPr>
          <w:spacing w:val="-37"/>
        </w:rPr>
        <w:t xml:space="preserve"> </w:t>
      </w:r>
      <w:r>
        <w:rPr>
          <w:spacing w:val="-3"/>
        </w:rPr>
        <w:t>2022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7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spacing w:val="-3"/>
        </w:rPr>
        <w:t>1</w:t>
      </w:r>
      <w:r>
        <w:rPr>
          <w:spacing w:val="-3"/>
        </w:rPr>
        <w:t xml:space="preserve"> </w:t>
      </w:r>
      <w:r>
        <w:rPr>
          <w:spacing w:val="-3"/>
        </w:rPr>
        <w:t>日起施行，与《中华人民共和国印</w:t>
      </w:r>
      <w:r>
        <w:rPr/>
        <w:t xml:space="preserve"> </w:t>
      </w:r>
      <w:r>
        <w:rPr>
          <w:spacing w:val="9"/>
        </w:rPr>
        <w:t>花税法》保持一致，符合《税务规范性文件制定管理办法》第十四</w:t>
      </w:r>
      <w:r>
        <w:rPr>
          <w:spacing w:val="10"/>
        </w:rPr>
        <w:t xml:space="preserve"> </w:t>
      </w:r>
      <w:r>
        <w:rPr>
          <w:spacing w:val="7"/>
        </w:rPr>
        <w:t>条三款</w:t>
      </w:r>
      <w:r>
        <w:rPr>
          <w:spacing w:val="-87"/>
        </w:rPr>
        <w:t xml:space="preserve"> </w:t>
      </w:r>
      <w:r>
        <w:rPr>
          <w:spacing w:val="7"/>
        </w:rPr>
        <w:t>“与法律、法规、规章或者上级机关决定配套实施的税务规</w:t>
      </w:r>
      <w:r>
        <w:rPr/>
        <w:t xml:space="preserve"> </w:t>
      </w:r>
      <w:r>
        <w:rPr>
          <w:spacing w:val="10"/>
        </w:rPr>
        <w:t>范性文件，其施行日期需要与前述文件保持一致的，不受本条第一</w:t>
      </w:r>
    </w:p>
    <w:p>
      <w:pPr>
        <w:pStyle w:val="BodyText"/>
        <w:ind w:left="6"/>
        <w:spacing w:before="1" w:line="221" w:lineRule="auto"/>
        <w:rPr/>
      </w:pPr>
      <w:r>
        <w:rPr>
          <w:spacing w:val="5"/>
        </w:rPr>
        <w:t>款、第二款时限规定的限制。</w:t>
      </w:r>
      <w:r>
        <w:rPr>
          <w:spacing w:val="-91"/>
        </w:rPr>
        <w:t xml:space="preserve"> </w:t>
      </w:r>
      <w:r>
        <w:rPr>
          <w:spacing w:val="5"/>
        </w:rPr>
        <w:t>”的规定。</w:t>
      </w:r>
    </w:p>
    <w:p>
      <w:pPr>
        <w:pStyle w:val="BodyText"/>
        <w:ind w:right="97" w:firstLine="636"/>
        <w:spacing w:before="247" w:line="372" w:lineRule="auto"/>
        <w:rPr/>
      </w:pPr>
      <w:r>
        <w:rPr>
          <w:spacing w:val="8"/>
        </w:rPr>
        <w:t>《14</w:t>
      </w:r>
      <w:r>
        <w:rPr>
          <w:spacing w:val="-36"/>
        </w:rPr>
        <w:t xml:space="preserve"> </w:t>
      </w:r>
      <w:r>
        <w:rPr>
          <w:spacing w:val="8"/>
        </w:rPr>
        <w:t>号公告》废止了《国家税务总局关于进一步加强印花税征</w:t>
      </w:r>
      <w:r>
        <w:rPr/>
        <w:t xml:space="preserve"> </w:t>
      </w:r>
      <w:r>
        <w:rPr>
          <w:spacing w:val="3"/>
        </w:rPr>
        <w:t>收管理有关问题的通知》（国税函〔2004〕150</w:t>
      </w:r>
      <w:r>
        <w:rPr>
          <w:spacing w:val="-48"/>
        </w:rPr>
        <w:t xml:space="preserve"> </w:t>
      </w:r>
      <w:r>
        <w:rPr>
          <w:spacing w:val="3"/>
        </w:rPr>
        <w:t>号</w:t>
      </w:r>
      <w:r>
        <w:rPr>
          <w:spacing w:val="1"/>
        </w:rPr>
        <w:t>），</w:t>
      </w:r>
      <w:r>
        <w:rPr>
          <w:spacing w:val="3"/>
        </w:rPr>
        <w:t>为此废止我省</w:t>
      </w:r>
      <w:r>
        <w:rPr/>
        <w:t xml:space="preserve"> </w:t>
      </w:r>
      <w:r>
        <w:rPr>
          <w:spacing w:val="9"/>
        </w:rPr>
        <w:t>根据《国家税务总局关于进一步加强印花税征收管理有关问题的通</w:t>
      </w:r>
      <w:r>
        <w:rPr>
          <w:spacing w:val="17"/>
        </w:rPr>
        <w:t xml:space="preserve"> </w:t>
      </w:r>
      <w:r>
        <w:rPr>
          <w:spacing w:val="3"/>
        </w:rPr>
        <w:t>知》（国税函〔2004〕150</w:t>
      </w:r>
      <w:r>
        <w:rPr>
          <w:spacing w:val="-49"/>
        </w:rPr>
        <w:t xml:space="preserve"> </w:t>
      </w:r>
      <w:r>
        <w:rPr>
          <w:spacing w:val="3"/>
        </w:rPr>
        <w:t>号）制定的《国家税务总局贵州省税务局</w:t>
      </w:r>
      <w:r>
        <w:rPr/>
        <w:t xml:space="preserve"> </w:t>
      </w:r>
      <w:r>
        <w:rPr>
          <w:spacing w:val="9"/>
        </w:rPr>
        <w:t>关于印花税核定征收有关问题的公告》（国家税务总局贵州省税务</w:t>
      </w:r>
      <w:r>
        <w:rPr>
          <w:spacing w:val="17"/>
        </w:rPr>
        <w:t xml:space="preserve"> </w:t>
      </w:r>
      <w:r>
        <w:rPr>
          <w:spacing w:val="-2"/>
        </w:rPr>
        <w:t>局公告</w:t>
      </w:r>
      <w:r>
        <w:rPr>
          <w:spacing w:val="-49"/>
        </w:rPr>
        <w:t xml:space="preserve"> </w:t>
      </w:r>
      <w:r>
        <w:rPr>
          <w:spacing w:val="-2"/>
        </w:rPr>
        <w:t>2020</w:t>
      </w:r>
      <w:r>
        <w:rPr>
          <w:spacing w:val="-56"/>
        </w:rPr>
        <w:t xml:space="preserve"> </w:t>
      </w:r>
      <w:r>
        <w:rPr>
          <w:spacing w:val="-2"/>
        </w:rPr>
        <w:t>年第</w:t>
      </w:r>
      <w:r>
        <w:rPr>
          <w:spacing w:val="-46"/>
        </w:rPr>
        <w:t xml:space="preserve"> </w:t>
      </w:r>
      <w:r>
        <w:rPr>
          <w:spacing w:val="-2"/>
        </w:rPr>
        <w:t>8</w:t>
      </w:r>
      <w:r>
        <w:rPr>
          <w:spacing w:val="-48"/>
        </w:rPr>
        <w:t xml:space="preserve"> </w:t>
      </w:r>
      <w:r>
        <w:rPr>
          <w:spacing w:val="-2"/>
        </w:rPr>
        <w:t>号</w:t>
      </w:r>
      <w:r>
        <w:rPr>
          <w:spacing w:val="-78"/>
        </w:rPr>
        <w:t>），</w:t>
      </w:r>
      <w:r>
        <w:rPr>
          <w:spacing w:val="-2"/>
        </w:rPr>
        <w:t>纳税人无法据实申报缴纳印花税的，按《中</w:t>
      </w:r>
    </w:p>
    <w:p>
      <w:pPr>
        <w:pStyle w:val="BodyText"/>
        <w:ind w:left="16"/>
        <w:spacing w:line="221" w:lineRule="auto"/>
        <w:rPr/>
      </w:pPr>
      <w:r>
        <w:rPr>
          <w:spacing w:val="8"/>
        </w:rPr>
        <w:t>华人民共和国税收征收管理法》的规定执行。</w:t>
      </w:r>
    </w:p>
    <w:p>
      <w:pPr>
        <w:ind w:left="651"/>
        <w:spacing w:before="2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三、落实的措施要求</w:t>
      </w:r>
    </w:p>
    <w:p>
      <w:pPr>
        <w:pStyle w:val="BodyText"/>
        <w:ind w:left="7" w:firstLine="638"/>
        <w:spacing w:before="240" w:line="372" w:lineRule="auto"/>
        <w:rPr/>
      </w:pPr>
      <w:r>
        <w:rPr>
          <w:spacing w:val="4"/>
        </w:rPr>
        <w:t>按照《税务规范性文件制定管理办法》第十四条三款“与法律、</w:t>
      </w:r>
      <w:r>
        <w:rPr>
          <w:spacing w:val="9"/>
        </w:rPr>
        <w:t xml:space="preserve"> </w:t>
      </w:r>
      <w:r>
        <w:rPr>
          <w:spacing w:val="12"/>
        </w:rPr>
        <w:t>法规、规章或者上级机关决定配套实施的税务规范性文件，其施行</w:t>
      </w:r>
      <w:r>
        <w:rPr>
          <w:spacing w:val="4"/>
        </w:rPr>
        <w:t xml:space="preserve"> </w:t>
      </w:r>
      <w:r>
        <w:rPr>
          <w:spacing w:val="12"/>
        </w:rPr>
        <w:t>日期需要与前述文件保持一致的，不受本条第一款、第二款时限规</w:t>
      </w:r>
      <w:r>
        <w:rPr>
          <w:spacing w:val="4"/>
        </w:rPr>
        <w:t xml:space="preserve"> </w:t>
      </w:r>
      <w:r>
        <w:rPr>
          <w:spacing w:val="-3"/>
        </w:rPr>
        <w:t>定的限制。”的规定，</w:t>
      </w:r>
      <w:r>
        <w:rPr>
          <w:spacing w:val="-89"/>
        </w:rPr>
        <w:t xml:space="preserve"> </w:t>
      </w:r>
      <w:r>
        <w:rPr>
          <w:spacing w:val="-3"/>
        </w:rPr>
        <w:t>自</w:t>
      </w:r>
      <w:r>
        <w:rPr>
          <w:spacing w:val="-48"/>
        </w:rPr>
        <w:t xml:space="preserve"> </w:t>
      </w:r>
      <w:r>
        <w:rPr>
          <w:spacing w:val="-3"/>
        </w:rPr>
        <w:t>2022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7</w:t>
      </w:r>
      <w:r>
        <w:rPr>
          <w:spacing w:val="-45"/>
        </w:rPr>
        <w:t xml:space="preserve"> </w:t>
      </w:r>
      <w:r>
        <w:rPr>
          <w:spacing w:val="-3"/>
        </w:rPr>
        <w:t>月</w:t>
      </w:r>
      <w:r>
        <w:rPr>
          <w:spacing w:val="-43"/>
        </w:rPr>
        <w:t xml:space="preserve"> </w:t>
      </w:r>
      <w:r>
        <w:rPr>
          <w:spacing w:val="-3"/>
        </w:rPr>
        <w:t>1</w:t>
      </w:r>
      <w:r>
        <w:rPr>
          <w:spacing w:val="-3"/>
        </w:rPr>
        <w:t xml:space="preserve"> </w:t>
      </w:r>
      <w:r>
        <w:rPr>
          <w:spacing w:val="-3"/>
        </w:rPr>
        <w:t>日起施行，与《中华人</w:t>
      </w:r>
      <w:r>
        <w:rPr>
          <w:spacing w:val="-4"/>
        </w:rPr>
        <w:t>民共</w:t>
      </w:r>
      <w:r>
        <w:rPr/>
        <w:t xml:space="preserve"> </w:t>
      </w:r>
      <w:r>
        <w:rPr>
          <w:spacing w:val="10"/>
        </w:rPr>
        <w:t>和国印花税法》保持一致。</w:t>
      </w:r>
      <w:r>
        <w:rPr>
          <w:spacing w:val="-91"/>
        </w:rPr>
        <w:t xml:space="preserve"> </w:t>
      </w:r>
      <w:r>
        <w:rPr>
          <w:spacing w:val="10"/>
        </w:rPr>
        <w:t>除本公告明确我省印花税纳税人纳</w:t>
      </w:r>
      <w:r>
        <w:rPr>
          <w:spacing w:val="9"/>
        </w:rPr>
        <w:t>税期</w:t>
      </w:r>
      <w:r>
        <w:rPr/>
        <w:t xml:space="preserve"> </w:t>
      </w:r>
      <w:r>
        <w:rPr>
          <w:spacing w:val="12"/>
        </w:rPr>
        <w:t>限事项外，其他有关印花税执行按《中华人民共和国印花税法》及</w:t>
      </w:r>
    </w:p>
    <w:p>
      <w:pPr>
        <w:pStyle w:val="BodyText"/>
        <w:spacing w:line="221" w:lineRule="auto"/>
        <w:rPr/>
      </w:pPr>
      <w:r>
        <w:rPr>
          <w:spacing w:val="7"/>
        </w:rPr>
        <w:t>相关规定执行。</w:t>
      </w:r>
    </w:p>
    <w:sectPr>
      <w:footerReference w:type="default" r:id="rId4"/>
      <w:pgSz w:w="11906" w:h="16839"/>
      <w:pgMar w:top="1251" w:right="1188" w:bottom="1216" w:left="1268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1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3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0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2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3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3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解 读</dc:title>
  <dc:creator>张寒霜</dc:creator>
  <dcterms:created xsi:type="dcterms:W3CDTF">2023-03-23T16:17:01Z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2023-11-03T14:26:49</vt:filetime>
  </property>
</Properties>
</file>