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06" w:lineRule="auto"/>
        <w:rPr>
          <w:rFonts w:ascii="Arial"/>
          <w:sz w:val="21"/>
        </w:rPr>
      </w:pPr>
      <w:r/>
    </w:p>
    <w:p>
      <w:pPr>
        <w:spacing w:line="306" w:lineRule="auto"/>
        <w:rPr>
          <w:rFonts w:ascii="Arial"/>
          <w:sz w:val="21"/>
        </w:rPr>
      </w:pPr>
      <w:r/>
    </w:p>
    <w:p>
      <w:pPr>
        <w:ind w:left="2170"/>
        <w:spacing w:before="325" w:line="222" w:lineRule="auto"/>
        <w:outlineLvl w:val="0"/>
        <w:rPr>
          <w:rFonts w:ascii="SimHei" w:hAnsi="SimHei" w:eastAsia="SimHei" w:cs="SimHei"/>
          <w:sz w:val="100"/>
          <w:szCs w:val="100"/>
        </w:rPr>
      </w:pPr>
      <w:r>
        <w:rPr>
          <w:rFonts w:ascii="SimHei" w:hAnsi="SimHei" w:eastAsia="SimHei" w:cs="SimHei"/>
          <w:sz w:val="100"/>
          <w:szCs w:val="100"/>
          <w:spacing w:val="-24"/>
        </w:rPr>
        <w:t>政</w:t>
      </w:r>
      <w:r>
        <w:rPr>
          <w:rFonts w:ascii="SimHei" w:hAnsi="SimHei" w:eastAsia="SimHei" w:cs="SimHei"/>
          <w:sz w:val="100"/>
          <w:szCs w:val="100"/>
          <w:spacing w:val="34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策</w:t>
      </w:r>
      <w:r>
        <w:rPr>
          <w:rFonts w:ascii="SimHei" w:hAnsi="SimHei" w:eastAsia="SimHei" w:cs="SimHei"/>
          <w:sz w:val="100"/>
          <w:szCs w:val="100"/>
          <w:spacing w:val="30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解</w:t>
      </w:r>
      <w:r>
        <w:rPr>
          <w:rFonts w:ascii="SimHei" w:hAnsi="SimHei" w:eastAsia="SimHei" w:cs="SimHei"/>
          <w:sz w:val="100"/>
          <w:szCs w:val="100"/>
          <w:spacing w:val="51"/>
        </w:rPr>
        <w:t xml:space="preserve"> </w:t>
      </w:r>
      <w:r>
        <w:rPr>
          <w:rFonts w:ascii="SimHei" w:hAnsi="SimHei" w:eastAsia="SimHei" w:cs="SimHei"/>
          <w:sz w:val="100"/>
          <w:szCs w:val="100"/>
          <w:spacing w:val="-24"/>
        </w:rPr>
        <w:t>读</w:t>
      </w:r>
    </w:p>
    <w:p>
      <w:pPr>
        <w:ind w:left="343"/>
        <w:spacing w:before="233" w:line="225" w:lineRule="auto"/>
        <w:rPr>
          <w:rFonts w:ascii="SimSun" w:hAnsi="SimSun" w:eastAsia="SimSun" w:cs="SimSun"/>
          <w:sz w:val="31"/>
          <w:szCs w:val="31"/>
        </w:rPr>
      </w:pPr>
      <w:r>
        <w:rPr>
          <w:rFonts w:ascii="SimSun" w:hAnsi="SimSun" w:eastAsia="SimSun" w:cs="SimSun"/>
          <w:sz w:val="31"/>
          <w:szCs w:val="31"/>
          <w:spacing w:val="4"/>
        </w:rPr>
        <w:t>财产和行为税处（政策解读部门）          2022</w:t>
      </w:r>
      <w:r>
        <w:rPr>
          <w:rFonts w:ascii="SimSun" w:hAnsi="SimSun" w:eastAsia="SimSun" w:cs="SimSun"/>
          <w:sz w:val="31"/>
          <w:szCs w:val="31"/>
          <w:spacing w:val="20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年</w:t>
      </w:r>
      <w:r>
        <w:rPr>
          <w:rFonts w:ascii="SimSun" w:hAnsi="SimSun" w:eastAsia="SimSun" w:cs="SimSun"/>
          <w:sz w:val="31"/>
          <w:szCs w:val="31"/>
          <w:spacing w:val="-3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11</w:t>
      </w:r>
      <w:r>
        <w:rPr>
          <w:rFonts w:ascii="SimSun" w:hAnsi="SimSun" w:eastAsia="SimSun" w:cs="SimSun"/>
          <w:sz w:val="31"/>
          <w:szCs w:val="31"/>
          <w:spacing w:val="-54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月</w:t>
      </w:r>
      <w:r>
        <w:rPr>
          <w:rFonts w:ascii="SimSun" w:hAnsi="SimSun" w:eastAsia="SimSun" w:cs="SimSun"/>
          <w:sz w:val="31"/>
          <w:szCs w:val="31"/>
          <w:spacing w:val="-57"/>
        </w:rPr>
        <w:t xml:space="preserve"> </w:t>
      </w:r>
      <w:r>
        <w:rPr>
          <w:rFonts w:ascii="SimSun" w:hAnsi="SimSun" w:eastAsia="SimSun" w:cs="SimSun"/>
          <w:sz w:val="31"/>
          <w:szCs w:val="31"/>
          <w:spacing w:val="4"/>
        </w:rPr>
        <w:t>29</w:t>
      </w:r>
      <w:r>
        <w:rPr>
          <w:rFonts w:ascii="SimSun" w:hAnsi="SimSun" w:eastAsia="SimSun" w:cs="SimSun"/>
          <w:sz w:val="31"/>
          <w:szCs w:val="31"/>
          <w:spacing w:val="3"/>
        </w:rPr>
        <w:t xml:space="preserve"> 日</w:t>
      </w:r>
    </w:p>
    <w:p>
      <w:pPr>
        <w:spacing w:before="12" w:line="45" w:lineRule="exact"/>
        <w:rPr/>
      </w:pPr>
      <w:r>
        <w:rPr/>
        <w:drawing>
          <wp:inline distT="0" distB="0" distL="0" distR="0">
            <wp:extent cx="6162675" cy="2857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62675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283" w:right="195" w:hanging="8"/>
        <w:spacing w:before="140" w:line="247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关于《国家税务总局贵州省税务局关于发布〈贵</w:t>
      </w:r>
      <w:r>
        <w:rPr>
          <w:rFonts w:ascii="SimSun" w:hAnsi="SimSun" w:eastAsia="SimSun" w:cs="SimSun"/>
          <w:sz w:val="43"/>
          <w:szCs w:val="43"/>
          <w:spacing w:val="14"/>
        </w:rPr>
        <w:t xml:space="preserve"> </w:t>
      </w:r>
      <w:r>
        <w:rPr>
          <w:rFonts w:ascii="SimSun" w:hAnsi="SimSun" w:eastAsia="SimSun" w:cs="SimSun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lim="0"/>
          </w14:textOutline>
          <w:spacing w:val="9"/>
        </w:rPr>
        <w:t>州省土地增值税清算管理办法〉的公告》的解读</w:t>
      </w: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86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一、公告出台的背景、意义</w:t>
      </w:r>
    </w:p>
    <w:p>
      <w:pPr>
        <w:pStyle w:val="BodyText"/>
        <w:ind w:left="226" w:right="133" w:firstLine="646"/>
        <w:spacing w:before="243" w:line="372" w:lineRule="auto"/>
        <w:rPr/>
      </w:pPr>
      <w:r>
        <w:rPr>
          <w:spacing w:val="12"/>
        </w:rPr>
        <w:t>为维护纳税人合法权益，规范土地增值税清算工作，根据《中</w:t>
      </w:r>
      <w:r>
        <w:rPr>
          <w:spacing w:val="1"/>
        </w:rPr>
        <w:t xml:space="preserve"> </w:t>
      </w:r>
      <w:r>
        <w:rPr>
          <w:spacing w:val="12"/>
        </w:rPr>
        <w:t>华人民共和国税收征收管理法》及实施细则、《税务规范性文件制</w:t>
      </w:r>
      <w:r>
        <w:rPr>
          <w:spacing w:val="4"/>
        </w:rPr>
        <w:t xml:space="preserve"> </w:t>
      </w:r>
      <w:r>
        <w:rPr>
          <w:spacing w:val="1"/>
        </w:rPr>
        <w:t>定管理办法》（国家税务总局令第</w:t>
      </w:r>
      <w:r>
        <w:rPr>
          <w:spacing w:val="-50"/>
        </w:rPr>
        <w:t xml:space="preserve"> </w:t>
      </w:r>
      <w:r>
        <w:rPr>
          <w:spacing w:val="1"/>
        </w:rPr>
        <w:t>41</w:t>
      </w:r>
      <w:r>
        <w:rPr>
          <w:spacing w:val="-46"/>
        </w:rPr>
        <w:t xml:space="preserve"> </w:t>
      </w:r>
      <w:r>
        <w:rPr>
          <w:spacing w:val="1"/>
        </w:rPr>
        <w:t>号公布，国家税务总局令第</w:t>
      </w:r>
      <w:r>
        <w:rPr>
          <w:spacing w:val="-47"/>
        </w:rPr>
        <w:t xml:space="preserve"> </w:t>
      </w:r>
      <w:r>
        <w:rPr>
          <w:spacing w:val="1"/>
        </w:rPr>
        <w:t>53</w:t>
      </w:r>
    </w:p>
    <w:p>
      <w:pPr>
        <w:pStyle w:val="BodyText"/>
        <w:ind w:left="236"/>
        <w:spacing w:before="2" w:line="221" w:lineRule="auto"/>
        <w:rPr/>
      </w:pPr>
      <w:r>
        <w:rPr>
          <w:spacing w:val="3"/>
        </w:rPr>
        <w:t>号修正</w:t>
      </w:r>
      <w:r>
        <w:rPr>
          <w:spacing w:val="22"/>
        </w:rPr>
        <w:t>），</w:t>
      </w:r>
      <w:r>
        <w:rPr>
          <w:spacing w:val="3"/>
        </w:rPr>
        <w:t>制定本《公告》，</w:t>
      </w:r>
      <w:r>
        <w:rPr>
          <w:spacing w:val="-86"/>
        </w:rPr>
        <w:t xml:space="preserve"> </w:t>
      </w:r>
      <w:r>
        <w:rPr>
          <w:spacing w:val="3"/>
        </w:rPr>
        <w:t>以贯彻依法治税。</w:t>
      </w:r>
    </w:p>
    <w:p>
      <w:pPr>
        <w:ind w:left="868"/>
        <w:spacing w:before="25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二、对公告具体内容的说明</w:t>
      </w:r>
    </w:p>
    <w:p>
      <w:pPr>
        <w:pStyle w:val="BodyText"/>
        <w:ind w:left="222" w:right="135" w:firstLine="639"/>
        <w:spacing w:before="242" w:line="372" w:lineRule="auto"/>
        <w:rPr/>
      </w:pPr>
      <w:r>
        <w:rPr>
          <w:spacing w:val="8"/>
        </w:rPr>
        <w:t>公告第五条按</w:t>
      </w:r>
      <w:r>
        <w:rPr>
          <w:spacing w:val="-92"/>
        </w:rPr>
        <w:t xml:space="preserve"> </w:t>
      </w:r>
      <w:r>
        <w:rPr>
          <w:spacing w:val="8"/>
        </w:rPr>
        <w:t>“普通标准住宅”和</w:t>
      </w:r>
      <w:r>
        <w:rPr>
          <w:spacing w:val="-100"/>
        </w:rPr>
        <w:t xml:space="preserve"> </w:t>
      </w:r>
      <w:r>
        <w:rPr>
          <w:spacing w:val="8"/>
        </w:rPr>
        <w:t>“其他类型房地产”分别计</w:t>
      </w:r>
      <w:r>
        <w:rPr/>
        <w:t xml:space="preserve"> </w:t>
      </w:r>
      <w:r>
        <w:rPr>
          <w:spacing w:val="12"/>
        </w:rPr>
        <w:t>算增值额、增值率为强制分类清算，纳税人不得将不同的房地产类</w:t>
      </w:r>
      <w:r>
        <w:rPr>
          <w:spacing w:val="8"/>
        </w:rPr>
        <w:t xml:space="preserve"> </w:t>
      </w:r>
      <w:r>
        <w:rPr>
          <w:spacing w:val="9"/>
        </w:rPr>
        <w:t>型合并进行清算申报。</w:t>
      </w:r>
      <w:r>
        <w:rPr>
          <w:spacing w:val="-60"/>
        </w:rPr>
        <w:t xml:space="preserve"> </w:t>
      </w:r>
      <w:r>
        <w:rPr>
          <w:spacing w:val="9"/>
        </w:rPr>
        <w:t>“其他类型房地产”为除普通标准住宅外的</w:t>
      </w:r>
      <w:r>
        <w:rPr/>
        <w:t xml:space="preserve"> </w:t>
      </w:r>
      <w:r>
        <w:rPr>
          <w:spacing w:val="12"/>
        </w:rPr>
        <w:t>其他所有房地产类型的房地产，包括非普通标准住宅</w:t>
      </w:r>
      <w:r>
        <w:rPr>
          <w:spacing w:val="11"/>
        </w:rPr>
        <w:t>、营业用房、</w:t>
      </w:r>
    </w:p>
    <w:p>
      <w:pPr>
        <w:pStyle w:val="BodyText"/>
        <w:ind w:left="222"/>
        <w:spacing w:before="2" w:line="221" w:lineRule="auto"/>
        <w:rPr/>
      </w:pPr>
      <w:r>
        <w:rPr>
          <w:spacing w:val="5"/>
        </w:rPr>
        <w:t>其他房地产。</w:t>
      </w:r>
    </w:p>
    <w:p>
      <w:pPr>
        <w:pStyle w:val="BodyText"/>
        <w:ind w:left="219" w:right="135" w:firstLine="642"/>
        <w:spacing w:before="250" w:line="372" w:lineRule="auto"/>
        <w:rPr/>
      </w:pPr>
      <w:r>
        <w:rPr>
          <w:spacing w:val="8"/>
        </w:rPr>
        <w:t>公告第二章</w:t>
      </w:r>
      <w:r>
        <w:rPr>
          <w:spacing w:val="-92"/>
        </w:rPr>
        <w:t xml:space="preserve"> </w:t>
      </w:r>
      <w:r>
        <w:rPr>
          <w:spacing w:val="8"/>
        </w:rPr>
        <w:t>“前期管理”</w:t>
      </w:r>
      <w:r>
        <w:rPr>
          <w:spacing w:val="-100"/>
        </w:rPr>
        <w:t xml:space="preserve"> </w:t>
      </w:r>
      <w:r>
        <w:rPr>
          <w:spacing w:val="8"/>
        </w:rPr>
        <w:t>中第十一条至第十七条纳税人向主管</w:t>
      </w:r>
      <w:r>
        <w:rPr/>
        <w:t xml:space="preserve"> </w:t>
      </w:r>
      <w:r>
        <w:rPr>
          <w:spacing w:val="12"/>
        </w:rPr>
        <w:t>税务机关报送的资料，为主管税务机关对房地产开发项目实施跟踪</w:t>
      </w:r>
    </w:p>
    <w:p>
      <w:pPr>
        <w:pStyle w:val="BodyText"/>
        <w:ind w:left="223"/>
        <w:spacing w:line="220" w:lineRule="auto"/>
        <w:rPr/>
      </w:pPr>
      <w:r>
        <w:rPr>
          <w:spacing w:val="12"/>
        </w:rPr>
        <w:t>管理需要的资料，是为了加强土地增值税前期管理，根据《国家税</w:t>
      </w:r>
    </w:p>
    <w:p>
      <w:pPr>
        <w:spacing w:line="220" w:lineRule="auto"/>
        <w:sectPr>
          <w:footerReference w:type="default" r:id="rId1"/>
          <w:pgSz w:w="11906" w:h="16839"/>
          <w:pgMar w:top="1431" w:right="1150" w:bottom="1217" w:left="1050" w:header="0" w:footer="993" w:gutter="0"/>
        </w:sectPr>
        <w:rPr/>
      </w:pPr>
    </w:p>
    <w:p>
      <w:pPr>
        <w:pStyle w:val="BodyText"/>
        <w:ind w:firstLine="8"/>
        <w:spacing w:before="60" w:line="372" w:lineRule="auto"/>
        <w:jc w:val="both"/>
        <w:rPr/>
      </w:pPr>
      <w:r>
        <w:rPr>
          <w:spacing w:val="1"/>
        </w:rPr>
        <w:t>务总局关于印发&lt;土地增值税清算管理规程&gt;的通知》(国税发〔2009〕</w:t>
      </w:r>
      <w:r>
        <w:rPr>
          <w:spacing w:val="3"/>
        </w:rPr>
        <w:t xml:space="preserve"> </w:t>
      </w:r>
      <w:r>
        <w:rPr>
          <w:spacing w:val="8"/>
        </w:rPr>
        <w:t>91</w:t>
      </w:r>
      <w:r>
        <w:rPr>
          <w:spacing w:val="-46"/>
        </w:rPr>
        <w:t xml:space="preserve"> </w:t>
      </w:r>
      <w:r>
        <w:rPr>
          <w:spacing w:val="8"/>
        </w:rPr>
        <w:t>号)第六条等规定所做细化规定。相关资料应该与原件核对一致，</w:t>
      </w:r>
      <w:r>
        <w:rPr/>
        <w:t xml:space="preserve"> </w:t>
      </w:r>
      <w:r>
        <w:rPr>
          <w:spacing w:val="12"/>
        </w:rPr>
        <w:t>税务机关不得留存纳税人证书、合同等的原件。主管税务机关能共</w:t>
      </w:r>
      <w:r>
        <w:rPr>
          <w:spacing w:val="5"/>
        </w:rPr>
        <w:t xml:space="preserve">  </w:t>
      </w:r>
      <w:r>
        <w:rPr>
          <w:spacing w:val="12"/>
        </w:rPr>
        <w:t>享其他职能部门掌握的该项目房地产开发的有关情况的，可不再要</w:t>
      </w:r>
    </w:p>
    <w:p>
      <w:pPr>
        <w:pStyle w:val="BodyText"/>
        <w:ind w:left="16"/>
        <w:spacing w:line="222" w:lineRule="auto"/>
        <w:rPr/>
      </w:pPr>
      <w:r>
        <w:rPr>
          <w:spacing w:val="4"/>
        </w:rPr>
        <w:t>求纳税人提供。</w:t>
      </w:r>
    </w:p>
    <w:p>
      <w:pPr>
        <w:pStyle w:val="BodyText"/>
        <w:ind w:left="17" w:right="152" w:firstLine="624"/>
        <w:spacing w:before="248" w:line="372" w:lineRule="auto"/>
        <w:jc w:val="both"/>
        <w:rPr/>
      </w:pPr>
      <w:r>
        <w:rPr>
          <w:spacing w:val="12"/>
        </w:rPr>
        <w:t>公告第二十一条、第二十二条房地产开发企业应清算、可清算</w:t>
      </w:r>
      <w:r>
        <w:rPr>
          <w:spacing w:val="10"/>
        </w:rPr>
        <w:t xml:space="preserve"> </w:t>
      </w:r>
      <w:r>
        <w:rPr>
          <w:spacing w:val="6"/>
        </w:rPr>
        <w:t>的纳税人办理清算手续时间与《国家税务总局关于印发&lt;土地增值税</w:t>
      </w:r>
      <w:r>
        <w:rPr>
          <w:spacing w:val="3"/>
        </w:rPr>
        <w:t xml:space="preserve"> </w:t>
      </w:r>
      <w:r>
        <w:rPr>
          <w:spacing w:val="2"/>
        </w:rPr>
        <w:t>清算管理规程&gt;的通知》(国税发〔2009〕91</w:t>
      </w:r>
      <w:r>
        <w:rPr>
          <w:spacing w:val="-37"/>
        </w:rPr>
        <w:t xml:space="preserve"> </w:t>
      </w:r>
      <w:r>
        <w:rPr>
          <w:spacing w:val="2"/>
        </w:rPr>
        <w:t>号)第十一条规定保持一</w:t>
      </w:r>
    </w:p>
    <w:p>
      <w:pPr>
        <w:pStyle w:val="BodyText"/>
        <w:ind w:left="14"/>
        <w:spacing w:line="223" w:lineRule="auto"/>
        <w:rPr/>
      </w:pPr>
      <w:r>
        <w:rPr>
          <w:spacing w:val="-8"/>
        </w:rPr>
        <w:t>致。</w:t>
      </w:r>
    </w:p>
    <w:p>
      <w:pPr>
        <w:pStyle w:val="BodyText"/>
        <w:ind w:right="57" w:firstLine="642"/>
        <w:spacing w:before="243" w:line="372" w:lineRule="auto"/>
        <w:jc w:val="both"/>
        <w:rPr/>
      </w:pPr>
      <w:r>
        <w:rPr>
          <w:spacing w:val="12"/>
        </w:rPr>
        <w:t>公告第二十四条要求纳税人提供的清算资料，为《国家税务总</w:t>
      </w:r>
      <w:r>
        <w:rPr>
          <w:spacing w:val="12"/>
        </w:rPr>
        <w:t xml:space="preserve"> </w:t>
      </w:r>
      <w:r>
        <w:rPr>
          <w:spacing w:val="4"/>
        </w:rPr>
        <w:t>局关于印发&lt;土地增值税清算管理规程&gt;的通知》</w:t>
      </w:r>
      <w:r>
        <w:rPr>
          <w:spacing w:val="-86"/>
        </w:rPr>
        <w:t xml:space="preserve"> </w:t>
      </w:r>
      <w:r>
        <w:rPr>
          <w:spacing w:val="4"/>
        </w:rPr>
        <w:t>(国税发〔2009〕91</w:t>
      </w:r>
      <w:r>
        <w:rPr/>
        <w:t xml:space="preserve"> </w:t>
      </w:r>
      <w:r>
        <w:rPr/>
        <w:t>号)第十二条等列明的资料。如“金融机构贷</w:t>
      </w:r>
      <w:r>
        <w:rPr>
          <w:spacing w:val="-1"/>
        </w:rPr>
        <w:t>款合同、勘察设计合同、</w:t>
      </w:r>
      <w:r>
        <w:rPr/>
        <w:t xml:space="preserve"> </w:t>
      </w:r>
      <w:r>
        <w:rPr>
          <w:spacing w:val="12"/>
        </w:rPr>
        <w:t>建筑安装工程合同、材料和设备采购合同、项目竣工决算报表、银</w:t>
      </w:r>
      <w:r>
        <w:rPr>
          <w:spacing w:val="10"/>
        </w:rPr>
        <w:t xml:space="preserve"> </w:t>
      </w:r>
      <w:r>
        <w:rPr>
          <w:spacing w:val="12"/>
        </w:rPr>
        <w:t>行贷款利息结算通知单、项目工程合同结算单、商品房购销合同统</w:t>
      </w:r>
      <w:r>
        <w:rPr>
          <w:spacing w:val="10"/>
        </w:rPr>
        <w:t xml:space="preserve"> </w:t>
      </w:r>
      <w:r>
        <w:rPr>
          <w:spacing w:val="12"/>
        </w:rPr>
        <w:t>计表、销售明细表等与转让房地产的收入、成本和费用有关的证明</w:t>
      </w:r>
      <w:r>
        <w:rPr>
          <w:spacing w:val="10"/>
        </w:rPr>
        <w:t xml:space="preserve"> </w:t>
      </w:r>
      <w:r>
        <w:rPr>
          <w:spacing w:val="12"/>
        </w:rPr>
        <w:t>资料。主管税务机关需要相应项目记账凭证的，房地产开发企业还</w:t>
      </w:r>
      <w:r>
        <w:rPr>
          <w:spacing w:val="10"/>
        </w:rPr>
        <w:t xml:space="preserve"> </w:t>
      </w:r>
      <w:r>
        <w:rPr>
          <w:spacing w:val="10"/>
        </w:rPr>
        <w:t>应提供与记账凭证原件一致的复印件。</w:t>
      </w:r>
      <w:r>
        <w:rPr>
          <w:spacing w:val="-89"/>
        </w:rPr>
        <w:t xml:space="preserve"> </w:t>
      </w:r>
      <w:r>
        <w:rPr>
          <w:spacing w:val="10"/>
        </w:rPr>
        <w:t>”仅只要求提供与记账凭证</w:t>
      </w:r>
      <w:r>
        <w:rPr/>
        <w:t xml:space="preserve"> </w:t>
      </w:r>
      <w:r>
        <w:rPr>
          <w:spacing w:val="12"/>
        </w:rPr>
        <w:t>原件一致的复印件，不另行增加行政相对人义务，在原《贵州省土</w:t>
      </w:r>
      <w:r>
        <w:rPr>
          <w:spacing w:val="10"/>
        </w:rPr>
        <w:t xml:space="preserve"> </w:t>
      </w:r>
      <w:r>
        <w:rPr>
          <w:spacing w:val="12"/>
        </w:rPr>
        <w:t>地增值税清算管理办法》要求提供记账凭证原件基础上大大减轻纳</w:t>
      </w:r>
    </w:p>
    <w:p>
      <w:pPr>
        <w:pStyle w:val="BodyText"/>
        <w:spacing w:before="1" w:line="222" w:lineRule="auto"/>
        <w:rPr/>
      </w:pPr>
      <w:r>
        <w:rPr>
          <w:spacing w:val="5"/>
        </w:rPr>
        <w:t>税人负担。</w:t>
      </w:r>
    </w:p>
    <w:p>
      <w:pPr>
        <w:pStyle w:val="BodyText"/>
        <w:ind w:left="642"/>
        <w:spacing w:before="250" w:line="624" w:lineRule="exact"/>
        <w:rPr/>
      </w:pPr>
      <w:r>
        <w:rPr>
          <w:spacing w:val="12"/>
          <w:position w:val="23"/>
        </w:rPr>
        <w:t>公告第三十四条、第四十三条所称开发产品，指房地产开发企</w:t>
      </w:r>
    </w:p>
    <w:p>
      <w:pPr>
        <w:pStyle w:val="BodyText"/>
        <w:ind w:left="16"/>
        <w:spacing w:before="1" w:line="221" w:lineRule="auto"/>
        <w:rPr/>
      </w:pPr>
      <w:r>
        <w:rPr>
          <w:spacing w:val="6"/>
        </w:rPr>
        <w:t>业开发的有产权、无产权的住宅、商业、公共建筑、配套、厂房等。</w:t>
      </w:r>
    </w:p>
    <w:p>
      <w:pPr>
        <w:spacing w:line="221" w:lineRule="auto"/>
        <w:sectPr>
          <w:footerReference w:type="default" r:id="rId3"/>
          <w:pgSz w:w="11906" w:h="16839"/>
          <w:pgMar w:top="1251" w:right="1133" w:bottom="1216" w:left="1269" w:header="0" w:footer="993" w:gutter="0"/>
        </w:sectPr>
        <w:rPr/>
      </w:pPr>
    </w:p>
    <w:p>
      <w:pPr>
        <w:pStyle w:val="BodyText"/>
        <w:ind w:left="7" w:firstLine="639"/>
        <w:spacing w:before="58" w:line="372" w:lineRule="auto"/>
        <w:rPr/>
      </w:pPr>
      <w:r>
        <w:rPr>
          <w:spacing w:val="12"/>
        </w:rPr>
        <w:t>公告第三十七条第（四）项规定，土地增值税清算扣除项目与</w:t>
      </w:r>
      <w:r>
        <w:rPr>
          <w:spacing w:val="12"/>
        </w:rPr>
        <w:t xml:space="preserve"> </w:t>
      </w:r>
      <w:r>
        <w:rPr>
          <w:spacing w:val="9"/>
        </w:rPr>
        <w:t>转让房地产有关的税金具体包括</w:t>
      </w:r>
      <w:r>
        <w:rPr>
          <w:spacing w:val="-99"/>
        </w:rPr>
        <w:t xml:space="preserve"> </w:t>
      </w:r>
      <w:r>
        <w:rPr>
          <w:spacing w:val="9"/>
        </w:rPr>
        <w:t>“</w:t>
      </w:r>
      <w:r>
        <w:rPr>
          <w:spacing w:val="-119"/>
        </w:rPr>
        <w:t xml:space="preserve"> </w:t>
      </w:r>
      <w:r>
        <w:rPr>
          <w:spacing w:val="9"/>
        </w:rPr>
        <w:t>营改增前实际缴纳的营业税、城</w:t>
      </w:r>
      <w:r>
        <w:rPr/>
        <w:t xml:space="preserve"> </w:t>
      </w:r>
      <w:r>
        <w:rPr>
          <w:spacing w:val="5"/>
        </w:rPr>
        <w:t>市维护建设税、教育费附加。营改增后允许扣除</w:t>
      </w:r>
      <w:r>
        <w:rPr>
          <w:spacing w:val="4"/>
        </w:rPr>
        <w:t>的城市维护建设税、</w:t>
      </w:r>
      <w:r>
        <w:rPr/>
        <w:t xml:space="preserve"> </w:t>
      </w:r>
      <w:r>
        <w:rPr>
          <w:spacing w:val="9"/>
        </w:rPr>
        <w:t>教育费附加。</w:t>
      </w:r>
      <w:r>
        <w:rPr>
          <w:spacing w:val="-104"/>
        </w:rPr>
        <w:t xml:space="preserve"> </w:t>
      </w:r>
      <w:r>
        <w:rPr>
          <w:spacing w:val="9"/>
        </w:rPr>
        <w:t>”</w:t>
      </w:r>
      <w:r>
        <w:rPr>
          <w:spacing w:val="-111"/>
        </w:rPr>
        <w:t xml:space="preserve"> </w:t>
      </w:r>
      <w:r>
        <w:rPr>
          <w:spacing w:val="9"/>
        </w:rPr>
        <w:t>因地方教育附加与教育费附加的性质相同，两者在</w:t>
      </w:r>
      <w:r>
        <w:rPr/>
        <w:t xml:space="preserve"> </w:t>
      </w:r>
      <w:r>
        <w:rPr>
          <w:spacing w:val="12"/>
        </w:rPr>
        <w:t>开征目的、征收机关、计征依据（费基）、使用管理制度等方面均</w:t>
      </w:r>
      <w:r>
        <w:rPr>
          <w:spacing w:val="8"/>
        </w:rPr>
        <w:t xml:space="preserve"> </w:t>
      </w:r>
      <w:r>
        <w:rPr>
          <w:spacing w:val="12"/>
        </w:rPr>
        <w:t>一致，且同时在房地产交易过程中附征；从会计处理角度看，根据</w:t>
      </w:r>
      <w:r>
        <w:rPr>
          <w:spacing w:val="8"/>
        </w:rPr>
        <w:t xml:space="preserve"> </w:t>
      </w:r>
      <w:r>
        <w:rPr>
          <w:spacing w:val="12"/>
        </w:rPr>
        <w:t>现行企业会计准则，教育费附加与地方教育附加计入相同会计科目</w:t>
      </w:r>
      <w:r>
        <w:rPr>
          <w:spacing w:val="8"/>
        </w:rPr>
        <w:t xml:space="preserve"> </w:t>
      </w:r>
      <w:r>
        <w:rPr>
          <w:spacing w:val="12"/>
        </w:rPr>
        <w:t>“税金及附加”，实务处理方法也一致。为此，地方教育附加可比</w:t>
      </w:r>
    </w:p>
    <w:p>
      <w:pPr>
        <w:pStyle w:val="BodyText"/>
        <w:ind w:left="31"/>
        <w:spacing w:before="1" w:line="219" w:lineRule="auto"/>
        <w:rPr/>
      </w:pPr>
      <w:r>
        <w:rPr>
          <w:spacing w:val="7"/>
        </w:rPr>
        <w:t>照教育费附加在土地增值税税前扣除。</w:t>
      </w:r>
    </w:p>
    <w:p>
      <w:pPr>
        <w:pStyle w:val="BodyText"/>
        <w:ind w:left="11" w:right="95" w:firstLine="635"/>
        <w:spacing w:before="253" w:line="372" w:lineRule="auto"/>
        <w:rPr/>
      </w:pPr>
      <w:r>
        <w:rPr>
          <w:spacing w:val="7"/>
        </w:rPr>
        <w:t>公告第五十四条第（</w:t>
      </w:r>
      <w:r>
        <w:rPr>
          <w:spacing w:val="-70"/>
        </w:rPr>
        <w:t xml:space="preserve"> </w:t>
      </w:r>
      <w:r>
        <w:rPr>
          <w:spacing w:val="7"/>
        </w:rPr>
        <w:t>二）项</w:t>
      </w:r>
      <w:r>
        <w:rPr>
          <w:spacing w:val="-102"/>
        </w:rPr>
        <w:t xml:space="preserve"> </w:t>
      </w:r>
      <w:r>
        <w:rPr>
          <w:spacing w:val="7"/>
        </w:rPr>
        <w:t>“4.税务机关确认的其他合理分摊</w:t>
      </w:r>
      <w:r>
        <w:rPr/>
        <w:t xml:space="preserve"> </w:t>
      </w:r>
      <w:r>
        <w:rPr>
          <w:spacing w:val="10"/>
        </w:rPr>
        <w:t>方法。</w:t>
      </w:r>
      <w:r>
        <w:rPr>
          <w:spacing w:val="-93"/>
        </w:rPr>
        <w:t xml:space="preserve"> </w:t>
      </w:r>
      <w:r>
        <w:rPr>
          <w:spacing w:val="10"/>
        </w:rPr>
        <w:t>”为兜底条款，指在省、市州或县区范围内通过调研、测算</w:t>
      </w:r>
      <w:r>
        <w:rPr/>
        <w:t xml:space="preserve"> </w:t>
      </w:r>
      <w:r>
        <w:rPr>
          <w:spacing w:val="12"/>
        </w:rPr>
        <w:t>后统一普遍适用的分摊方法，省、市州或县区税务局可根据实际制</w:t>
      </w:r>
    </w:p>
    <w:p>
      <w:pPr>
        <w:pStyle w:val="BodyText"/>
        <w:ind w:left="11"/>
        <w:spacing w:line="220" w:lineRule="auto"/>
        <w:rPr/>
      </w:pPr>
      <w:r>
        <w:rPr>
          <w:spacing w:val="7"/>
        </w:rPr>
        <w:t>定相应的税收规范性文件。</w:t>
      </w:r>
    </w:p>
    <w:p>
      <w:pPr>
        <w:pStyle w:val="BodyText"/>
        <w:ind w:left="11" w:right="92" w:firstLine="635"/>
        <w:spacing w:before="252" w:line="372" w:lineRule="auto"/>
        <w:rPr/>
      </w:pPr>
      <w:r>
        <w:rPr>
          <w:spacing w:val="10"/>
        </w:rPr>
        <w:t>公告第六章所称</w:t>
      </w:r>
      <w:r>
        <w:rPr>
          <w:spacing w:val="-89"/>
        </w:rPr>
        <w:t xml:space="preserve"> </w:t>
      </w:r>
      <w:r>
        <w:rPr>
          <w:spacing w:val="10"/>
        </w:rPr>
        <w:t>“核定征收”为《中华人民共和国税收征收管</w:t>
      </w:r>
      <w:r>
        <w:rPr/>
        <w:t xml:space="preserve"> </w:t>
      </w:r>
      <w:r>
        <w:rPr>
          <w:spacing w:val="8"/>
        </w:rPr>
        <w:t>理法》</w:t>
      </w:r>
      <w:r>
        <w:rPr>
          <w:spacing w:val="-25"/>
        </w:rPr>
        <w:t xml:space="preserve"> </w:t>
      </w:r>
      <w:r>
        <w:rPr>
          <w:spacing w:val="8"/>
        </w:rPr>
        <w:t>第三十五条和《中华人民共和国税收征收管</w:t>
      </w:r>
      <w:r>
        <w:rPr>
          <w:spacing w:val="7"/>
        </w:rPr>
        <w:t>理法实施细则》</w:t>
      </w:r>
      <w:r>
        <w:rPr/>
        <w:t xml:space="preserve"> </w:t>
      </w:r>
      <w:r>
        <w:rPr>
          <w:spacing w:val="12"/>
        </w:rPr>
        <w:t>第四十七条规定的核定征收，税务机关可以采取一种或多种方式对</w:t>
      </w:r>
    </w:p>
    <w:p>
      <w:pPr>
        <w:pStyle w:val="BodyText"/>
        <w:ind w:left="16"/>
        <w:spacing w:line="221" w:lineRule="auto"/>
        <w:rPr/>
      </w:pPr>
      <w:r>
        <w:rPr>
          <w:spacing w:val="7"/>
        </w:rPr>
        <w:t>纳税人实行核定征收土地增值税。</w:t>
      </w:r>
    </w:p>
    <w:p>
      <w:pPr>
        <w:pStyle w:val="BodyText"/>
        <w:ind w:left="14" w:right="95" w:firstLine="633"/>
        <w:spacing w:before="251" w:line="372" w:lineRule="auto"/>
        <w:rPr/>
      </w:pPr>
      <w:r>
        <w:rPr>
          <w:spacing w:val="12"/>
        </w:rPr>
        <w:t>公告第五十八条关于清算后转让房地产的处理，按照《国家税</w:t>
      </w:r>
      <w:r>
        <w:rPr>
          <w:spacing w:val="12"/>
        </w:rPr>
        <w:t xml:space="preserve"> </w:t>
      </w:r>
      <w:r>
        <w:rPr>
          <w:spacing w:val="12"/>
        </w:rPr>
        <w:t>务总局关于房地产开发企业土地增值税清算管理有关问题的</w:t>
      </w:r>
      <w:r>
        <w:rPr>
          <w:spacing w:val="11"/>
        </w:rPr>
        <w:t>通知》</w:t>
      </w:r>
    </w:p>
    <w:p>
      <w:pPr>
        <w:pStyle w:val="BodyText"/>
        <w:spacing w:line="221" w:lineRule="auto"/>
        <w:rPr/>
      </w:pPr>
      <w:r>
        <w:rPr>
          <w:spacing w:val="7"/>
        </w:rPr>
        <w:t>（国税发〔2006〕187</w:t>
      </w:r>
      <w:r>
        <w:rPr>
          <w:spacing w:val="-46"/>
        </w:rPr>
        <w:t xml:space="preserve"> </w:t>
      </w:r>
      <w:r>
        <w:rPr>
          <w:spacing w:val="7"/>
        </w:rPr>
        <w:t>号）第八条的规定进行修</w:t>
      </w:r>
      <w:r>
        <w:rPr>
          <w:spacing w:val="6"/>
        </w:rPr>
        <w:t>改。</w:t>
      </w:r>
    </w:p>
    <w:p>
      <w:pPr>
        <w:pStyle w:val="BodyText"/>
        <w:ind w:left="647"/>
        <w:spacing w:before="252" w:line="624" w:lineRule="exact"/>
        <w:rPr/>
      </w:pPr>
      <w:r>
        <w:rPr>
          <w:spacing w:val="12"/>
          <w:position w:val="23"/>
        </w:rPr>
        <w:t>公告严格按照《中华人民共和国土地增值税暂行条例》及其实</w:t>
      </w:r>
    </w:p>
    <w:p>
      <w:pPr>
        <w:pStyle w:val="BodyText"/>
        <w:ind w:left="9"/>
        <w:spacing w:before="2" w:line="221" w:lineRule="auto"/>
        <w:rPr/>
      </w:pPr>
      <w:r>
        <w:rPr>
          <w:spacing w:val="12"/>
        </w:rPr>
        <w:t>施细则和土地增值税有关规定制定，相关条文内容与原《贵州省土</w:t>
      </w:r>
    </w:p>
    <w:p>
      <w:pPr>
        <w:spacing w:line="221" w:lineRule="auto"/>
        <w:sectPr>
          <w:footerReference w:type="default" r:id="rId4"/>
          <w:pgSz w:w="11906" w:h="16839"/>
          <w:pgMar w:top="1251" w:right="1191" w:bottom="1216" w:left="1264" w:header="0" w:footer="993" w:gutter="0"/>
        </w:sectPr>
        <w:rPr/>
      </w:pPr>
    </w:p>
    <w:p>
      <w:pPr>
        <w:pStyle w:val="BodyText"/>
        <w:ind w:left="11" w:right="153" w:hanging="6"/>
        <w:spacing w:before="62" w:line="372" w:lineRule="auto"/>
        <w:rPr/>
      </w:pPr>
      <w:r>
        <w:rPr>
          <w:spacing w:val="12"/>
        </w:rPr>
        <w:t>地增值税清算管理办法》规定保持一致，如对个别文字作了调整，</w:t>
      </w:r>
      <w:r>
        <w:rPr>
          <w:spacing w:val="10"/>
        </w:rPr>
        <w:t xml:space="preserve"> </w:t>
      </w:r>
      <w:r>
        <w:rPr>
          <w:spacing w:val="2"/>
        </w:rPr>
        <w:t>将</w:t>
      </w:r>
      <w:r>
        <w:rPr>
          <w:spacing w:val="-86"/>
        </w:rPr>
        <w:t xml:space="preserve"> </w:t>
      </w:r>
      <w:r>
        <w:rPr>
          <w:spacing w:val="2"/>
        </w:rPr>
        <w:t>“</w:t>
      </w:r>
      <w:r>
        <w:rPr>
          <w:spacing w:val="-110"/>
        </w:rPr>
        <w:t xml:space="preserve"> </w:t>
      </w:r>
      <w:r>
        <w:rPr>
          <w:spacing w:val="2"/>
        </w:rPr>
        <w:t>国土部门”修改为</w:t>
      </w:r>
      <w:r>
        <w:rPr>
          <w:spacing w:val="-103"/>
        </w:rPr>
        <w:t xml:space="preserve"> </w:t>
      </w:r>
      <w:r>
        <w:rPr>
          <w:spacing w:val="2"/>
        </w:rPr>
        <w:t>“</w:t>
      </w:r>
      <w:r>
        <w:rPr>
          <w:spacing w:val="-80"/>
        </w:rPr>
        <w:t xml:space="preserve"> </w:t>
      </w:r>
      <w:r>
        <w:rPr>
          <w:spacing w:val="2"/>
        </w:rPr>
        <w:t>自然资源部门”；将</w:t>
      </w:r>
      <w:r>
        <w:rPr>
          <w:spacing w:val="-102"/>
        </w:rPr>
        <w:t xml:space="preserve"> </w:t>
      </w:r>
      <w:r>
        <w:rPr>
          <w:spacing w:val="2"/>
        </w:rPr>
        <w:t>“《土地增值税纳税</w:t>
      </w:r>
    </w:p>
    <w:p>
      <w:pPr>
        <w:pStyle w:val="BodyText"/>
        <w:ind w:left="55"/>
        <w:spacing w:line="220" w:lineRule="auto"/>
        <w:rPr/>
      </w:pPr>
      <w:r>
        <w:rPr>
          <w:spacing w:val="4"/>
        </w:rPr>
        <w:t>申报表》”修改为</w:t>
      </w:r>
      <w:r>
        <w:rPr>
          <w:spacing w:val="-89"/>
        </w:rPr>
        <w:t xml:space="preserve"> </w:t>
      </w:r>
      <w:r>
        <w:rPr>
          <w:spacing w:val="4"/>
        </w:rPr>
        <w:t>“财产和行为税合并申报表”等。</w:t>
      </w:r>
    </w:p>
    <w:p>
      <w:pPr>
        <w:ind w:left="655"/>
        <w:spacing w:before="252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三、落实的措施要求</w:t>
      </w:r>
    </w:p>
    <w:p>
      <w:pPr>
        <w:pStyle w:val="BodyText"/>
        <w:ind w:firstLine="648"/>
        <w:spacing w:before="241" w:line="372" w:lineRule="auto"/>
        <w:rPr/>
      </w:pPr>
      <w:r>
        <w:rPr>
          <w:spacing w:val="-2"/>
        </w:rPr>
        <w:t>本公告自</w:t>
      </w:r>
      <w:r>
        <w:rPr>
          <w:spacing w:val="-42"/>
        </w:rPr>
        <w:t xml:space="preserve"> </w:t>
      </w:r>
      <w:r>
        <w:rPr>
          <w:spacing w:val="-2"/>
        </w:rPr>
        <w:t>2023</w:t>
      </w:r>
      <w:r>
        <w:rPr>
          <w:spacing w:val="-56"/>
        </w:rPr>
        <w:t xml:space="preserve"> </w:t>
      </w:r>
      <w:r>
        <w:rPr>
          <w:spacing w:val="-2"/>
        </w:rPr>
        <w:t>年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45"/>
        </w:rPr>
        <w:t xml:space="preserve"> </w:t>
      </w:r>
      <w:r>
        <w:rPr>
          <w:spacing w:val="-2"/>
        </w:rPr>
        <w:t>月</w:t>
      </w:r>
      <w:r>
        <w:rPr>
          <w:spacing w:val="-41"/>
        </w:rPr>
        <w:t xml:space="preserve"> </w:t>
      </w:r>
      <w:r>
        <w:rPr>
          <w:spacing w:val="-2"/>
        </w:rPr>
        <w:t>1</w:t>
      </w:r>
      <w:r>
        <w:rPr>
          <w:spacing w:val="-2"/>
        </w:rPr>
        <w:t xml:space="preserve"> </w:t>
      </w:r>
      <w:r>
        <w:rPr>
          <w:spacing w:val="-2"/>
        </w:rPr>
        <w:t>日起施行。按照《税务规范性文件制定</w:t>
      </w:r>
      <w:r>
        <w:rPr/>
        <w:t xml:space="preserve">  </w:t>
      </w:r>
      <w:r>
        <w:rPr>
          <w:spacing w:val="1"/>
        </w:rPr>
        <w:t>管理办法》“税务规范性文件应当自发布之日起</w:t>
      </w:r>
      <w:r>
        <w:rPr>
          <w:spacing w:val="-22"/>
        </w:rPr>
        <w:t xml:space="preserve"> </w:t>
      </w:r>
      <w:r>
        <w:rPr>
          <w:spacing w:val="1"/>
        </w:rPr>
        <w:t>30</w:t>
      </w:r>
      <w:r>
        <w:rPr>
          <w:spacing w:val="1"/>
        </w:rPr>
        <w:t xml:space="preserve"> </w:t>
      </w:r>
      <w:r>
        <w:rPr>
          <w:spacing w:val="1"/>
        </w:rPr>
        <w:t>日后施行”</w:t>
      </w:r>
      <w:r>
        <w:rPr>
          <w:spacing w:val="-110"/>
        </w:rPr>
        <w:t xml:space="preserve"> </w:t>
      </w:r>
      <w:r>
        <w:rPr>
          <w:spacing w:val="1"/>
        </w:rPr>
        <w:t>的要</w:t>
      </w:r>
      <w:r>
        <w:rPr/>
        <w:t xml:space="preserve">  </w:t>
      </w:r>
      <w:r>
        <w:rPr>
          <w:spacing w:val="7"/>
        </w:rPr>
        <w:t>求确定施行日期。本公告施行后《贵州省土地增值税清算管理办</w:t>
      </w:r>
      <w:r>
        <w:rPr>
          <w:spacing w:val="6"/>
        </w:rPr>
        <w:t>法》</w:t>
      </w:r>
      <w:r>
        <w:rPr/>
        <w:t xml:space="preserve"> </w:t>
      </w:r>
      <w:r>
        <w:rPr>
          <w:spacing w:val="7"/>
        </w:rPr>
        <w:t>（贵州省地方税务局公告</w:t>
      </w:r>
      <w:r>
        <w:rPr>
          <w:spacing w:val="-28"/>
        </w:rPr>
        <w:t xml:space="preserve"> </w:t>
      </w:r>
      <w:r>
        <w:rPr>
          <w:spacing w:val="7"/>
        </w:rPr>
        <w:t>2016</w:t>
      </w:r>
      <w:r>
        <w:rPr>
          <w:spacing w:val="-53"/>
        </w:rPr>
        <w:t xml:space="preserve"> </w:t>
      </w:r>
      <w:r>
        <w:rPr>
          <w:spacing w:val="7"/>
        </w:rPr>
        <w:t>年第</w:t>
      </w:r>
      <w:r>
        <w:rPr>
          <w:spacing w:val="-39"/>
        </w:rPr>
        <w:t xml:space="preserve"> </w:t>
      </w:r>
      <w:r>
        <w:rPr>
          <w:spacing w:val="7"/>
        </w:rPr>
        <w:t>13</w:t>
      </w:r>
      <w:r>
        <w:rPr>
          <w:spacing w:val="-43"/>
        </w:rPr>
        <w:t xml:space="preserve"> </w:t>
      </w:r>
      <w:r>
        <w:rPr>
          <w:spacing w:val="7"/>
        </w:rPr>
        <w:t>号，国家税务总局贵州省税</w:t>
      </w:r>
    </w:p>
    <w:p>
      <w:pPr>
        <w:pStyle w:val="BodyText"/>
        <w:ind w:left="14"/>
        <w:spacing w:line="222" w:lineRule="auto"/>
        <w:rPr/>
      </w:pPr>
      <w:r>
        <w:rPr>
          <w:spacing w:val="1"/>
        </w:rPr>
        <w:t>务局</w:t>
      </w:r>
      <w:r>
        <w:rPr>
          <w:spacing w:val="-43"/>
        </w:rPr>
        <w:t xml:space="preserve"> </w:t>
      </w:r>
      <w:r>
        <w:rPr>
          <w:spacing w:val="1"/>
        </w:rPr>
        <w:t>2018</w:t>
      </w:r>
      <w:r>
        <w:rPr>
          <w:spacing w:val="-56"/>
        </w:rPr>
        <w:t xml:space="preserve"> </w:t>
      </w:r>
      <w:r>
        <w:rPr>
          <w:spacing w:val="1"/>
        </w:rPr>
        <w:t>年第</w:t>
      </w:r>
      <w:r>
        <w:rPr>
          <w:spacing w:val="-48"/>
        </w:rPr>
        <w:t xml:space="preserve"> </w:t>
      </w:r>
      <w:r>
        <w:rPr>
          <w:spacing w:val="1"/>
        </w:rPr>
        <w:t>2</w:t>
      </w:r>
      <w:r>
        <w:rPr>
          <w:spacing w:val="-48"/>
        </w:rPr>
        <w:t xml:space="preserve"> </w:t>
      </w:r>
      <w:r>
        <w:rPr>
          <w:spacing w:val="1"/>
        </w:rPr>
        <w:t>号公告修改）废止。</w:t>
      </w:r>
    </w:p>
    <w:sectPr>
      <w:footerReference w:type="default" r:id="rId5"/>
      <w:pgSz w:w="11906" w:h="16839"/>
      <w:pgMar w:top="1251" w:right="1132" w:bottom="1214" w:left="1264" w:header="0" w:footer="9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18"/>
      <w:spacing w:line="166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6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1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10"/>
      </w:rPr>
      <w:t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8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0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2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8"/>
      </w:rPr>
      <w:t>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line="165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  <w:r>
      <w:rPr>
        <w:rFonts w:ascii="Microsoft YaHei" w:hAnsi="Microsoft YaHei" w:eastAsia="Microsoft YaHei" w:cs="Microsoft YaHei"/>
        <w:sz w:val="18"/>
        <w:szCs w:val="18"/>
        <w:spacing w:val="13"/>
        <w:w w:val="101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3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9"/>
      </w:rPr>
      <w:t>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4"/>
      <w:spacing w:before="1" w:line="163" w:lineRule="auto"/>
      <w:rPr>
        <w:rFonts w:ascii="Microsoft YaHei" w:hAnsi="Microsoft YaHei" w:eastAsia="Microsoft YaHei" w:cs="Microsoft YaHei"/>
        <w:sz w:val="18"/>
        <w:szCs w:val="18"/>
      </w:rPr>
    </w:pPr>
    <w:r>
      <w:rPr>
        <w:rFonts w:ascii="Microsoft YaHei" w:hAnsi="Microsoft YaHei" w:eastAsia="Microsoft YaHei" w:cs="Microsoft YaHei"/>
        <w:sz w:val="18"/>
        <w:szCs w:val="18"/>
        <w:spacing w:val="-6"/>
      </w:rPr>
      <w:t>-</w:t>
    </w:r>
    <w:r>
      <w:rPr>
        <w:rFonts w:ascii="Microsoft YaHei" w:hAnsi="Microsoft YaHei" w:eastAsia="Microsoft YaHei" w:cs="Microsoft YaHei"/>
        <w:sz w:val="18"/>
        <w:szCs w:val="18"/>
        <w:spacing w:val="4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6"/>
      </w:rPr>
      <w:t>4</w:t>
    </w:r>
    <w:r>
      <w:rPr>
        <w:rFonts w:ascii="Microsoft YaHei" w:hAnsi="Microsoft YaHei" w:eastAsia="Microsoft YaHei" w:cs="Microsoft YaHei"/>
        <w:sz w:val="18"/>
        <w:szCs w:val="18"/>
        <w:spacing w:val="13"/>
      </w:rPr>
      <w:t xml:space="preserve"> </w:t>
    </w:r>
    <w:r>
      <w:rPr>
        <w:rFonts w:ascii="Microsoft YaHei" w:hAnsi="Microsoft YaHei" w:eastAsia="Microsoft YaHei" w:cs="Microsoft YaHei"/>
        <w:sz w:val="18"/>
        <w:szCs w:val="18"/>
        <w:spacing w:val="-6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解 读</dc:title>
  <dc:creator>张寒霜</dc:creator>
  <dcterms:created xsi:type="dcterms:W3CDTF">2023-03-23T16:10:37Z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2023-11-03T14:27:43</vt:filetime>
  </property>
</Properties>
</file>