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170"/>
        <w:spacing w:before="325" w:line="222" w:lineRule="auto"/>
        <w:outlineLvl w:val="0"/>
        <w:rPr>
          <w:rFonts w:ascii="SimHei" w:hAnsi="SimHei" w:eastAsia="SimHei" w:cs="SimHei"/>
          <w:sz w:val="100"/>
          <w:szCs w:val="100"/>
        </w:rPr>
      </w:pPr>
      <w:r>
        <w:rPr>
          <w:rFonts w:ascii="SimHei" w:hAnsi="SimHei" w:eastAsia="SimHei" w:cs="SimHei"/>
          <w:sz w:val="100"/>
          <w:szCs w:val="100"/>
          <w:spacing w:val="-24"/>
        </w:rPr>
        <w:t>政</w:t>
      </w:r>
      <w:r>
        <w:rPr>
          <w:rFonts w:ascii="SimHei" w:hAnsi="SimHei" w:eastAsia="SimHei" w:cs="SimHei"/>
          <w:sz w:val="100"/>
          <w:szCs w:val="100"/>
          <w:spacing w:val="34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策</w:t>
      </w:r>
      <w:r>
        <w:rPr>
          <w:rFonts w:ascii="SimHei" w:hAnsi="SimHei" w:eastAsia="SimHei" w:cs="SimHei"/>
          <w:sz w:val="100"/>
          <w:szCs w:val="100"/>
          <w:spacing w:val="30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解</w:t>
      </w:r>
      <w:r>
        <w:rPr>
          <w:rFonts w:ascii="SimHei" w:hAnsi="SimHei" w:eastAsia="SimHei" w:cs="SimHei"/>
          <w:sz w:val="100"/>
          <w:szCs w:val="100"/>
          <w:spacing w:val="51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读</w:t>
      </w:r>
    </w:p>
    <w:p>
      <w:pPr>
        <w:ind w:left="666"/>
        <w:spacing w:before="23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"/>
        </w:rPr>
        <w:t>非税收入处（政策解读部门）          2022</w:t>
      </w:r>
      <w:r>
        <w:rPr>
          <w:rFonts w:ascii="SimSun" w:hAnsi="SimSun" w:eastAsia="SimSun" w:cs="SimSun"/>
          <w:sz w:val="31"/>
          <w:szCs w:val="31"/>
          <w:spacing w:val="3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年</w:t>
      </w:r>
      <w:r>
        <w:rPr>
          <w:rFonts w:ascii="SimSun" w:hAnsi="SimSun" w:eastAsia="SimSun" w:cs="SimSun"/>
          <w:sz w:val="31"/>
          <w:szCs w:val="31"/>
          <w:spacing w:val="-4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12</w:t>
      </w:r>
      <w:r>
        <w:rPr>
          <w:rFonts w:ascii="SimSun" w:hAnsi="SimSun" w:eastAsia="SimSun" w:cs="SimSun"/>
          <w:sz w:val="31"/>
          <w:szCs w:val="31"/>
          <w:spacing w:val="-5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月</w:t>
      </w:r>
      <w:r>
        <w:rPr>
          <w:rFonts w:ascii="SimSun" w:hAnsi="SimSun" w:eastAsia="SimSun" w:cs="SimSun"/>
          <w:sz w:val="31"/>
          <w:szCs w:val="31"/>
          <w:spacing w:val="-5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27 日</w:t>
      </w:r>
    </w:p>
    <w:p>
      <w:pPr>
        <w:spacing w:before="12" w:line="45" w:lineRule="exact"/>
        <w:rPr/>
      </w:pPr>
      <w:r>
        <w:rPr/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829" w:right="150" w:hanging="614"/>
        <w:spacing w:before="140" w:line="24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关于《国家税务总局贵州省税务局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贵州省财政厅</w:t>
      </w:r>
      <w:r>
        <w:rPr>
          <w:rFonts w:ascii="SimSun" w:hAnsi="SimSun" w:eastAsia="SimSun" w:cs="SimSun"/>
          <w:sz w:val="43"/>
          <w:szCs w:val="43"/>
          <w:spacing w:val="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贵州省林业局</w:t>
      </w:r>
      <w:r>
        <w:rPr>
          <w:rFonts w:ascii="SimSun" w:hAnsi="SimSun" w:eastAsia="SimSun" w:cs="SimSun"/>
          <w:sz w:val="43"/>
          <w:szCs w:val="43"/>
          <w:spacing w:val="9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中国人民银行贵阳中心支行</w:t>
      </w:r>
    </w:p>
    <w:p>
      <w:pPr>
        <w:ind w:left="716" w:right="653" w:firstLine="329"/>
        <w:spacing w:before="4" w:line="246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关于将森林植被恢复费</w:t>
      </w:r>
      <w:r>
        <w:rPr>
          <w:rFonts w:ascii="SimSun" w:hAnsi="SimSun" w:eastAsia="SimSun" w:cs="SimSun"/>
          <w:sz w:val="43"/>
          <w:szCs w:val="43"/>
          <w:spacing w:val="9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草原植被恢复费</w:t>
      </w:r>
      <w:r>
        <w:rPr>
          <w:rFonts w:ascii="SimSun" w:hAnsi="SimSun" w:eastAsia="SimSun" w:cs="SimSun"/>
          <w:sz w:val="43"/>
          <w:szCs w:val="43"/>
          <w:spacing w:val="2"/>
        </w:rPr>
        <w:t xml:space="preserve"> 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划转税务部门征收有关事项的公告》的解读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86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一、公告出台的背景、意义</w:t>
      </w:r>
    </w:p>
    <w:p>
      <w:pPr>
        <w:pStyle w:val="BodyText"/>
        <w:ind w:left="228" w:right="153" w:firstLine="630"/>
        <w:spacing w:before="243" w:line="372" w:lineRule="auto"/>
        <w:rPr/>
      </w:pPr>
      <w:r>
        <w:rPr>
          <w:spacing w:val="12"/>
        </w:rPr>
        <w:t>根据《财政部关于将森林植被恢复费、草原植被恢复费划转税</w:t>
      </w:r>
      <w:r>
        <w:rPr>
          <w:spacing w:val="15"/>
        </w:rPr>
        <w:t xml:space="preserve"> </w:t>
      </w:r>
      <w:r>
        <w:rPr>
          <w:spacing w:val="5"/>
        </w:rPr>
        <w:t>务部门征收的通知》（财税〔2022〕50</w:t>
      </w:r>
      <w:r>
        <w:rPr>
          <w:spacing w:val="-37"/>
        </w:rPr>
        <w:t xml:space="preserve"> </w:t>
      </w:r>
      <w:r>
        <w:rPr>
          <w:spacing w:val="5"/>
        </w:rPr>
        <w:t>号，</w:t>
      </w:r>
      <w:r>
        <w:rPr>
          <w:spacing w:val="-84"/>
        </w:rPr>
        <w:t xml:space="preserve"> </w:t>
      </w:r>
      <w:r>
        <w:rPr>
          <w:spacing w:val="5"/>
        </w:rPr>
        <w:t>以下简称《通知》）要</w:t>
      </w:r>
      <w:r>
        <w:rPr/>
        <w:t xml:space="preserve"> </w:t>
      </w:r>
      <w:r>
        <w:rPr>
          <w:spacing w:val="9"/>
        </w:rPr>
        <w:t>求，为平稳推进划转，结合工作实际，制定本《公告》，</w:t>
      </w:r>
      <w:r>
        <w:rPr>
          <w:spacing w:val="-69"/>
        </w:rPr>
        <w:t xml:space="preserve"> </w:t>
      </w:r>
      <w:r>
        <w:rPr>
          <w:spacing w:val="9"/>
        </w:rPr>
        <w:t>以确保我</w:t>
      </w:r>
    </w:p>
    <w:p>
      <w:pPr>
        <w:pStyle w:val="BodyText"/>
        <w:ind w:left="232"/>
        <w:spacing w:before="2" w:line="218" w:lineRule="auto"/>
        <w:rPr/>
      </w:pPr>
      <w:r>
        <w:rPr>
          <w:spacing w:val="7"/>
        </w:rPr>
        <w:t>省非税划转工作顺利进行。</w:t>
      </w:r>
    </w:p>
    <w:p>
      <w:pPr>
        <w:ind w:left="868"/>
        <w:spacing w:before="25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二、对公告具体内容的说明</w:t>
      </w:r>
    </w:p>
    <w:p>
      <w:pPr>
        <w:pStyle w:val="BodyText"/>
        <w:spacing w:before="278" w:line="582" w:lineRule="exact"/>
        <w:jc w:val="right"/>
        <w:rPr/>
      </w:pPr>
      <w:r>
        <w:rPr>
          <w:spacing w:val="6"/>
          <w:position w:val="20"/>
        </w:rPr>
        <w:t>公告对我省森林植被恢复费、草原植被恢复费（以下简称两费）</w:t>
      </w:r>
    </w:p>
    <w:p>
      <w:pPr>
        <w:pStyle w:val="BodyText"/>
        <w:ind w:left="232"/>
        <w:spacing w:before="2" w:line="218" w:lineRule="auto"/>
        <w:rPr/>
      </w:pPr>
      <w:r>
        <w:rPr>
          <w:spacing w:val="7"/>
        </w:rPr>
        <w:t>划转税务部门征收作出具体规定。</w:t>
      </w:r>
    </w:p>
    <w:p>
      <w:pPr>
        <w:pStyle w:val="BodyText"/>
        <w:ind w:left="243" w:right="153" w:firstLine="618"/>
        <w:spacing w:before="210" w:line="345" w:lineRule="auto"/>
        <w:rPr/>
      </w:pPr>
      <w:r>
        <w:rPr>
          <w:spacing w:val="-2"/>
        </w:rPr>
        <w:t>公告第一条规定自</w:t>
      </w:r>
      <w:r>
        <w:rPr>
          <w:spacing w:val="-36"/>
        </w:rPr>
        <w:t xml:space="preserve"> </w:t>
      </w:r>
      <w:r>
        <w:rPr>
          <w:spacing w:val="-2"/>
        </w:rPr>
        <w:t>2023</w:t>
      </w:r>
      <w:r>
        <w:rPr>
          <w:spacing w:val="-58"/>
        </w:rPr>
        <w:t xml:space="preserve"> </w:t>
      </w:r>
      <w:r>
        <w:rPr>
          <w:spacing w:val="-2"/>
        </w:rPr>
        <w:t>年</w:t>
      </w:r>
      <w:r>
        <w:rPr>
          <w:spacing w:val="-43"/>
        </w:rPr>
        <w:t xml:space="preserve"> </w:t>
      </w:r>
      <w:r>
        <w:rPr>
          <w:spacing w:val="-2"/>
        </w:rPr>
        <w:t>1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2"/>
        </w:rPr>
        <w:t xml:space="preserve"> </w:t>
      </w:r>
      <w:r>
        <w:rPr>
          <w:spacing w:val="-2"/>
        </w:rPr>
        <w:t>日起，贵州省的森林植被恢复</w:t>
      </w:r>
      <w:r>
        <w:rPr/>
        <w:t xml:space="preserve"> </w:t>
      </w:r>
      <w:r>
        <w:rPr>
          <w:spacing w:val="11"/>
        </w:rPr>
        <w:t>费、草原植被恢复费（以下简称两费）划转至税务部门负责征收。</w:t>
      </w:r>
      <w:r>
        <w:rPr>
          <w:spacing w:val="16"/>
        </w:rPr>
        <w:t xml:space="preserve"> </w:t>
      </w:r>
      <w:r>
        <w:rPr>
          <w:spacing w:val="11"/>
        </w:rPr>
        <w:t>除《通知》另有规定外，两费的征收范围、对象、标准、分成、减</w:t>
      </w:r>
    </w:p>
    <w:p>
      <w:pPr>
        <w:pStyle w:val="BodyText"/>
        <w:ind w:left="238"/>
        <w:spacing w:line="221" w:lineRule="auto"/>
        <w:rPr/>
      </w:pPr>
      <w:r>
        <w:rPr>
          <w:spacing w:val="7"/>
        </w:rPr>
        <w:t>免等政策，继续按照现行规定执行。</w:t>
      </w:r>
    </w:p>
    <w:p>
      <w:pPr>
        <w:spacing w:line="221" w:lineRule="auto"/>
        <w:sectPr>
          <w:footerReference w:type="default" r:id="rId1"/>
          <w:pgSz w:w="11906" w:h="16839"/>
          <w:pgMar w:top="1431" w:right="1132" w:bottom="1217" w:left="1050" w:header="0" w:footer="993" w:gutter="0"/>
        </w:sectPr>
        <w:rPr/>
      </w:pPr>
    </w:p>
    <w:p>
      <w:pPr>
        <w:pStyle w:val="BodyText"/>
        <w:ind w:right="89" w:firstLine="642"/>
        <w:spacing w:before="61" w:line="372" w:lineRule="auto"/>
        <w:rPr/>
      </w:pPr>
      <w:r>
        <w:rPr>
          <w:spacing w:val="10"/>
        </w:rPr>
        <w:t>公告第二条规定贵州省税务部门按照属地原</w:t>
      </w:r>
      <w:r>
        <w:rPr>
          <w:spacing w:val="9"/>
        </w:rPr>
        <w:t>则征收两费，</w:t>
      </w:r>
      <w:r>
        <w:rPr>
          <w:spacing w:val="-81"/>
        </w:rPr>
        <w:t xml:space="preserve"> </w:t>
      </w:r>
      <w:r>
        <w:rPr>
          <w:spacing w:val="9"/>
        </w:rPr>
        <w:t>由实</w:t>
      </w:r>
      <w:r>
        <w:rPr/>
        <w:t xml:space="preserve"> </w:t>
      </w:r>
      <w:r>
        <w:rPr>
          <w:spacing w:val="12"/>
        </w:rPr>
        <w:t>际占用的森林、草原所在地的税务机关负责征收入库，实际占用的</w:t>
      </w:r>
      <w:r>
        <w:rPr>
          <w:spacing w:val="10"/>
        </w:rPr>
        <w:t xml:space="preserve"> </w:t>
      </w:r>
      <w:r>
        <w:rPr>
          <w:spacing w:val="7"/>
        </w:rPr>
        <w:t>森林、草原跨区域的，</w:t>
      </w:r>
      <w:r>
        <w:rPr>
          <w:spacing w:val="-78"/>
        </w:rPr>
        <w:t xml:space="preserve"> </w:t>
      </w:r>
      <w:r>
        <w:rPr>
          <w:spacing w:val="7"/>
        </w:rPr>
        <w:t>由缴费人自行选择在其中一地申报缴费。</w:t>
      </w:r>
      <w:r>
        <w:rPr>
          <w:spacing w:val="-77"/>
        </w:rPr>
        <w:t xml:space="preserve"> </w:t>
      </w:r>
      <w:r>
        <w:rPr>
          <w:spacing w:val="7"/>
        </w:rPr>
        <w:t>同</w:t>
      </w:r>
    </w:p>
    <w:p>
      <w:pPr>
        <w:pStyle w:val="BodyText"/>
        <w:ind w:left="32"/>
        <w:spacing w:before="1" w:line="218" w:lineRule="auto"/>
        <w:rPr/>
      </w:pPr>
      <w:r>
        <w:rPr>
          <w:spacing w:val="7"/>
        </w:rPr>
        <w:t>时对两费划转前后的征收职责做出了规定。</w:t>
      </w:r>
    </w:p>
    <w:p>
      <w:pPr>
        <w:pStyle w:val="BodyText"/>
        <w:ind w:left="10" w:right="89" w:firstLine="631"/>
        <w:spacing w:before="292" w:line="345" w:lineRule="auto"/>
        <w:rPr/>
      </w:pPr>
      <w:r>
        <w:rPr>
          <w:spacing w:val="12"/>
        </w:rPr>
        <w:t>公告第三条规定两费缴费流程。缴费人凭林业部门开具的全省</w:t>
      </w:r>
      <w:r>
        <w:rPr>
          <w:spacing w:val="10"/>
        </w:rPr>
        <w:t xml:space="preserve"> </w:t>
      </w:r>
      <w:r>
        <w:rPr>
          <w:spacing w:val="10"/>
        </w:rPr>
        <w:t>统一格式的</w:t>
      </w:r>
      <w:r>
        <w:rPr>
          <w:spacing w:val="-97"/>
        </w:rPr>
        <w:t xml:space="preserve"> </w:t>
      </w:r>
      <w:r>
        <w:rPr>
          <w:spacing w:val="10"/>
        </w:rPr>
        <w:t>“贵州省森林植被恢复费（草原植被恢复费）缴款通知</w:t>
      </w:r>
      <w:r>
        <w:rPr/>
        <w:t xml:space="preserve"> </w:t>
      </w:r>
      <w:r>
        <w:rPr>
          <w:spacing w:val="1"/>
        </w:rPr>
        <w:t>单”（样本附后）在主管税务机关征收场所或电子税务局完成申报缴</w:t>
      </w:r>
    </w:p>
    <w:p>
      <w:pPr>
        <w:pStyle w:val="BodyText"/>
        <w:ind w:left="23"/>
        <w:spacing w:before="1" w:line="223" w:lineRule="auto"/>
        <w:rPr>
          <w:rFonts w:ascii="SimSun" w:hAnsi="SimSun" w:eastAsia="SimSun" w:cs="SimSun"/>
        </w:rPr>
      </w:pPr>
      <w:r>
        <w:rPr>
          <w:spacing w:val="-13"/>
        </w:rPr>
        <w:t>费</w:t>
      </w:r>
      <w:r>
        <w:rPr>
          <w:rFonts w:ascii="SimSun" w:hAnsi="SimSun" w:eastAsia="SimSun" w:cs="SimSun"/>
          <w:spacing w:val="-13"/>
        </w:rPr>
        <w:t>。</w:t>
      </w:r>
    </w:p>
    <w:p>
      <w:pPr>
        <w:pStyle w:val="BodyText"/>
        <w:ind w:left="29" w:right="89" w:firstLine="612"/>
        <w:spacing w:before="165" w:line="372" w:lineRule="auto"/>
        <w:rPr/>
      </w:pPr>
      <w:r>
        <w:rPr>
          <w:spacing w:val="12"/>
        </w:rPr>
        <w:t>公告第六条明确两费退库程序。两费缴入国库后需要办理退库</w:t>
      </w:r>
      <w:r>
        <w:rPr>
          <w:spacing w:val="12"/>
        </w:rPr>
        <w:t xml:space="preserve"> </w:t>
      </w:r>
      <w:r>
        <w:rPr>
          <w:spacing w:val="9"/>
        </w:rPr>
        <w:t>的，</w:t>
      </w:r>
      <w:r>
        <w:rPr>
          <w:spacing w:val="-84"/>
        </w:rPr>
        <w:t xml:space="preserve"> </w:t>
      </w:r>
      <w:r>
        <w:rPr>
          <w:spacing w:val="9"/>
        </w:rPr>
        <w:t>由缴费人向税务部门申请办理，按照财政部门有关退</w:t>
      </w:r>
      <w:r>
        <w:rPr>
          <w:spacing w:val="8"/>
        </w:rPr>
        <w:t>库管理规</w:t>
      </w:r>
    </w:p>
    <w:p>
      <w:pPr>
        <w:pStyle w:val="BodyText"/>
        <w:ind w:left="6"/>
        <w:spacing w:line="223" w:lineRule="auto"/>
        <w:rPr/>
      </w:pPr>
      <w:r>
        <w:rPr>
          <w:spacing w:val="6"/>
        </w:rPr>
        <w:t>定办理退付手续。</w:t>
      </w:r>
    </w:p>
    <w:p>
      <w:pPr>
        <w:pStyle w:val="BodyText"/>
        <w:spacing w:before="249" w:line="220" w:lineRule="auto"/>
        <w:jc w:val="right"/>
        <w:rPr/>
      </w:pPr>
      <w:r>
        <w:rPr>
          <w:spacing w:val="3"/>
        </w:rPr>
        <w:t>此外，公告对两费申报资料和缴费票据使用也做出了具体规定。</w:t>
      </w:r>
    </w:p>
    <w:p>
      <w:pPr>
        <w:pStyle w:val="BodyText"/>
        <w:ind w:left="666"/>
        <w:spacing w:before="255" w:line="222" w:lineRule="auto"/>
        <w:rPr/>
      </w:pPr>
      <w:r>
        <w:rPr>
          <w:spacing w:val="5"/>
        </w:rPr>
        <w:t>三、落实的措施要求</w:t>
      </w:r>
    </w:p>
    <w:p>
      <w:pPr>
        <w:pStyle w:val="BodyText"/>
        <w:ind w:left="643"/>
        <w:spacing w:before="251" w:line="221" w:lineRule="auto"/>
        <w:rPr/>
      </w:pPr>
      <w:r>
        <w:rPr>
          <w:spacing w:val="-6"/>
        </w:rPr>
        <w:t>本公告自</w:t>
      </w:r>
      <w:r>
        <w:rPr>
          <w:spacing w:val="-44"/>
        </w:rPr>
        <w:t xml:space="preserve"> </w:t>
      </w:r>
      <w:r>
        <w:rPr>
          <w:spacing w:val="-6"/>
        </w:rPr>
        <w:t>2023</w:t>
      </w:r>
      <w:r>
        <w:rPr>
          <w:spacing w:val="-56"/>
        </w:rPr>
        <w:t xml:space="preserve"> </w:t>
      </w:r>
      <w:r>
        <w:rPr>
          <w:spacing w:val="-6"/>
        </w:rPr>
        <w:t>年</w:t>
      </w:r>
      <w:r>
        <w:rPr>
          <w:spacing w:val="-41"/>
        </w:rPr>
        <w:t xml:space="preserve"> </w:t>
      </w:r>
      <w:r>
        <w:rPr>
          <w:spacing w:val="-6"/>
        </w:rPr>
        <w:t>1</w:t>
      </w:r>
      <w:r>
        <w:rPr>
          <w:spacing w:val="-45"/>
        </w:rPr>
        <w:t xml:space="preserve"> </w:t>
      </w:r>
      <w:r>
        <w:rPr>
          <w:spacing w:val="-6"/>
        </w:rPr>
        <w:t>月</w:t>
      </w:r>
      <w:r>
        <w:rPr>
          <w:spacing w:val="-41"/>
        </w:rPr>
        <w:t xml:space="preserve"> </w:t>
      </w:r>
      <w:r>
        <w:rPr>
          <w:spacing w:val="-6"/>
        </w:rPr>
        <w:t>1</w:t>
      </w:r>
      <w:r>
        <w:rPr>
          <w:spacing w:val="-6"/>
        </w:rPr>
        <w:t xml:space="preserve"> </w:t>
      </w:r>
      <w:r>
        <w:rPr>
          <w:spacing w:val="-6"/>
        </w:rPr>
        <w:t>日起施行。</w:t>
      </w:r>
    </w:p>
    <w:sectPr>
      <w:footerReference w:type="default" r:id="rId3"/>
      <w:pgSz w:w="11906" w:h="16839"/>
      <w:pgMar w:top="1251" w:right="1197" w:bottom="1216" w:left="1269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1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0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2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解 读</dc:title>
  <dc:creator>张寒霜</dc:creator>
  <dcterms:created xsi:type="dcterms:W3CDTF">2023-03-23T15:55:37Z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2023-11-03T14:28:27</vt:filetime>
  </property>
</Properties>
</file>