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E8" w:rsidRDefault="00EC30E8" w:rsidP="00EC30E8">
      <w:pPr>
        <w:snapToGrid w:val="0"/>
        <w:spacing w:line="360" w:lineRule="auto"/>
        <w:rPr>
          <w:rFonts w:ascii="黑体" w:eastAsia="黑体" w:hAnsi="黑体" w:cs="黑体"/>
          <w:sz w:val="32"/>
          <w:szCs w:val="32"/>
        </w:rPr>
      </w:pPr>
      <w:r>
        <w:rPr>
          <w:rFonts w:ascii="黑体" w:eastAsia="黑体" w:hAnsi="黑体" w:cs="黑体" w:hint="eastAsia"/>
          <w:sz w:val="32"/>
          <w:szCs w:val="32"/>
        </w:rPr>
        <w:t>附件</w:t>
      </w:r>
    </w:p>
    <w:p w:rsidR="00EC30E8" w:rsidRDefault="00EC30E8" w:rsidP="00EC30E8">
      <w:pPr>
        <w:pStyle w:val="1"/>
        <w:snapToGrid w:val="0"/>
        <w:spacing w:beforeLines="100" w:afterLines="50" w:line="240" w:lineRule="auto"/>
        <w:jc w:val="center"/>
        <w:rP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val="0"/>
        </w:rPr>
        <w:t>全文废止文件目录</w:t>
      </w:r>
    </w:p>
    <w:tbl>
      <w:tblPr>
        <w:tblW w:w="9468"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5064"/>
        <w:gridCol w:w="3456"/>
      </w:tblGrid>
      <w:tr w:rsidR="00EC30E8" w:rsidTr="00110716">
        <w:trPr>
          <w:trHeight w:val="779"/>
        </w:trPr>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序号</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文件标题</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文号</w:t>
            </w:r>
          </w:p>
        </w:tc>
      </w:tr>
      <w:tr w:rsidR="00EC30E8" w:rsidTr="00110716">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1</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《天津市地方税务局关于契税 耕地占用税征管工作的通知》</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津地税地〔2006〕13号</w:t>
            </w:r>
          </w:p>
        </w:tc>
      </w:tr>
      <w:tr w:rsidR="00EC30E8" w:rsidTr="00110716">
        <w:trPr>
          <w:trHeight w:val="2096"/>
        </w:trPr>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2</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《天津市地方税务局关于土地权属转移契税有关核定问题的通知》</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津地税地〔2006〕14号（国家税务总局天津市税务局公告2018年第1号修改）</w:t>
            </w:r>
          </w:p>
        </w:tc>
      </w:tr>
      <w:tr w:rsidR="00EC30E8" w:rsidTr="00110716">
        <w:trPr>
          <w:trHeight w:val="1588"/>
        </w:trPr>
        <w:tc>
          <w:tcPr>
            <w:tcW w:w="948" w:type="dxa"/>
            <w:noWrap/>
            <w:vAlign w:val="center"/>
          </w:tcPr>
          <w:p w:rsidR="00EC30E8" w:rsidRDefault="00EC30E8" w:rsidP="00110716">
            <w:pPr>
              <w:jc w:val="center"/>
              <w:rPr>
                <w:rFonts w:ascii="仿宋_GB2312" w:eastAsia="仿宋_GB2312" w:cs="仿宋_GB2312"/>
                <w:color w:val="FF0000"/>
                <w:sz w:val="32"/>
                <w:lang/>
              </w:rPr>
            </w:pPr>
            <w:r>
              <w:rPr>
                <w:rFonts w:ascii="仿宋_GB2312" w:eastAsia="仿宋_GB2312" w:cs="仿宋_GB2312" w:hint="eastAsia"/>
                <w:color w:val="000000"/>
                <w:sz w:val="32"/>
                <w:lang/>
              </w:rPr>
              <w:t>3</w:t>
            </w:r>
          </w:p>
        </w:tc>
        <w:tc>
          <w:tcPr>
            <w:tcW w:w="5064" w:type="dxa"/>
            <w:noWrap/>
            <w:vAlign w:val="center"/>
          </w:tcPr>
          <w:p w:rsidR="00EC30E8" w:rsidRDefault="00EC30E8" w:rsidP="00110716">
            <w:pPr>
              <w:jc w:val="center"/>
              <w:rPr>
                <w:rFonts w:ascii="仿宋_GB2312" w:eastAsia="仿宋_GB2312" w:cs="仿宋_GB2312"/>
                <w:color w:val="FF0000"/>
                <w:sz w:val="32"/>
                <w:lang/>
              </w:rPr>
            </w:pPr>
            <w:r>
              <w:rPr>
                <w:rFonts w:ascii="仿宋_GB2312" w:eastAsia="仿宋_GB2312" w:cs="仿宋_GB2312" w:hint="eastAsia"/>
                <w:color w:val="000000"/>
                <w:sz w:val="32"/>
                <w:lang/>
              </w:rPr>
              <w:t>《</w:t>
            </w:r>
            <w:r>
              <w:rPr>
                <w:rFonts w:ascii="仿宋_GB2312" w:eastAsia="仿宋_GB2312" w:hAnsi="仿宋_GB2312" w:cs="仿宋_GB2312" w:hint="eastAsia"/>
                <w:sz w:val="32"/>
                <w:szCs w:val="32"/>
              </w:rPr>
              <w:t>天津市地方税务局 天津市财政局 天津市国土资源和房屋管理局</w:t>
            </w:r>
            <w:r>
              <w:rPr>
                <w:rFonts w:ascii="仿宋_GB2312" w:eastAsia="仿宋_GB2312" w:cs="仿宋_GB2312" w:hint="eastAsia"/>
                <w:color w:val="000000"/>
                <w:sz w:val="32"/>
                <w:lang/>
              </w:rPr>
              <w:t>关于调整我市普通住房标准及契税等房地产税收政策问题的通知》</w:t>
            </w:r>
          </w:p>
        </w:tc>
        <w:tc>
          <w:tcPr>
            <w:tcW w:w="3456" w:type="dxa"/>
            <w:noWrap/>
            <w:vAlign w:val="center"/>
          </w:tcPr>
          <w:p w:rsidR="00EC30E8" w:rsidRDefault="00EC30E8" w:rsidP="00110716">
            <w:pPr>
              <w:jc w:val="center"/>
              <w:rPr>
                <w:rFonts w:ascii="仿宋_GB2312" w:eastAsia="仿宋_GB2312" w:cs="仿宋_GB2312"/>
                <w:color w:val="FF0000"/>
                <w:sz w:val="32"/>
                <w:lang/>
              </w:rPr>
            </w:pPr>
            <w:r>
              <w:rPr>
                <w:rFonts w:ascii="仿宋_GB2312" w:eastAsia="仿宋_GB2312" w:cs="仿宋_GB2312" w:hint="eastAsia"/>
                <w:color w:val="000000"/>
                <w:sz w:val="32"/>
                <w:lang/>
              </w:rPr>
              <w:t>津地税发〔2006〕3号</w:t>
            </w:r>
          </w:p>
        </w:tc>
      </w:tr>
      <w:tr w:rsidR="00EC30E8" w:rsidTr="00110716">
        <w:trPr>
          <w:trHeight w:val="959"/>
        </w:trPr>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color w:val="000000"/>
                <w:sz w:val="32"/>
                <w:lang/>
              </w:rPr>
              <w:t>4</w:t>
            </w:r>
          </w:p>
        </w:tc>
        <w:tc>
          <w:tcPr>
            <w:tcW w:w="5064" w:type="dxa"/>
            <w:noWrap/>
            <w:vAlign w:val="center"/>
          </w:tcPr>
          <w:p w:rsidR="00EC30E8" w:rsidRDefault="00EC30E8" w:rsidP="00110716">
            <w:pPr>
              <w:jc w:val="center"/>
              <w:rPr>
                <w:rFonts w:ascii="仿宋_GB2312" w:eastAsia="仿宋_GB2312" w:hAnsi="仿宋_GB2312" w:cs="仿宋_GB2312"/>
                <w:color w:val="0070C0"/>
                <w:sz w:val="32"/>
                <w:szCs w:val="32"/>
                <w:lang/>
              </w:rPr>
            </w:pPr>
            <w:r>
              <w:rPr>
                <w:rFonts w:ascii="仿宋_GB2312" w:eastAsia="仿宋_GB2312" w:hAnsi="仿宋_GB2312" w:cs="仿宋_GB2312" w:hint="eastAsia"/>
                <w:sz w:val="32"/>
                <w:szCs w:val="32"/>
              </w:rPr>
              <w:t>《天津市地方税务局关于做好契税耕地占用税收入分析工作的通知》</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津地税地〔2006〕57号</w:t>
            </w:r>
          </w:p>
        </w:tc>
      </w:tr>
      <w:tr w:rsidR="00EC30E8" w:rsidTr="00110716">
        <w:trPr>
          <w:trHeight w:val="959"/>
        </w:trPr>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5</w:t>
            </w:r>
          </w:p>
        </w:tc>
        <w:tc>
          <w:tcPr>
            <w:tcW w:w="5064" w:type="dxa"/>
            <w:noWrap/>
            <w:vAlign w:val="center"/>
          </w:tcPr>
          <w:p w:rsidR="00EC30E8" w:rsidRDefault="00EC30E8" w:rsidP="00110716">
            <w:pPr>
              <w:jc w:val="center"/>
              <w:rPr>
                <w:rFonts w:ascii="仿宋_GB2312" w:eastAsia="仿宋_GB2312" w:cs="仿宋_GB2312"/>
                <w:color w:val="000000"/>
                <w:sz w:val="32"/>
                <w:szCs w:val="24"/>
                <w:lang/>
              </w:rPr>
            </w:pPr>
            <w:r>
              <w:rPr>
                <w:rFonts w:ascii="仿宋_GB2312" w:eastAsia="仿宋_GB2312" w:cs="仿宋_GB2312" w:hint="eastAsia"/>
                <w:color w:val="000000"/>
                <w:sz w:val="32"/>
                <w:szCs w:val="24"/>
                <w:lang/>
              </w:rPr>
              <w:t>《天津市地方税务局 天津市财政局关于调整我市契税 耕地占用税代征手续费支付比例的通知》</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津地税地〔2010〕69号</w:t>
            </w:r>
          </w:p>
        </w:tc>
      </w:tr>
      <w:tr w:rsidR="00EC30E8" w:rsidTr="00110716">
        <w:trPr>
          <w:trHeight w:val="959"/>
        </w:trPr>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6</w:t>
            </w:r>
          </w:p>
        </w:tc>
        <w:tc>
          <w:tcPr>
            <w:tcW w:w="5064" w:type="dxa"/>
            <w:noWrap/>
            <w:vAlign w:val="center"/>
          </w:tcPr>
          <w:p w:rsidR="00EC30E8" w:rsidRDefault="00EC30E8" w:rsidP="00110716">
            <w:pPr>
              <w:jc w:val="center"/>
              <w:rPr>
                <w:rFonts w:ascii="仿宋_GB2312" w:eastAsia="仿宋_GB2312" w:cs="仿宋_GB2312"/>
                <w:color w:val="000000"/>
                <w:sz w:val="32"/>
                <w:szCs w:val="24"/>
                <w:lang/>
              </w:rPr>
            </w:pPr>
            <w:r>
              <w:rPr>
                <w:rFonts w:ascii="仿宋_GB2312" w:eastAsia="仿宋_GB2312" w:cs="仿宋_GB2312" w:hint="eastAsia"/>
                <w:color w:val="000000"/>
                <w:sz w:val="32"/>
                <w:szCs w:val="24"/>
                <w:lang/>
              </w:rPr>
              <w:t>《天津市地方税务局关于确定天津滨海高新技术产业开发区滨海科技园普通住房标准的批复》</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津地税地〔2010〕86号</w:t>
            </w:r>
          </w:p>
        </w:tc>
      </w:tr>
      <w:tr w:rsidR="00EC30E8" w:rsidTr="00110716">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lastRenderedPageBreak/>
              <w:t>序号</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文件标题</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文号</w:t>
            </w:r>
          </w:p>
        </w:tc>
      </w:tr>
      <w:tr w:rsidR="00EC30E8" w:rsidTr="00110716">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7</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《天津市地方税务局关于明确市政公用基础设施大配套工程费计入契税计税依据的通知》</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津地税地〔2012〕22号</w:t>
            </w:r>
          </w:p>
        </w:tc>
      </w:tr>
      <w:tr w:rsidR="00EC30E8" w:rsidTr="00110716">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8</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szCs w:val="24"/>
                <w:lang/>
              </w:rPr>
              <w:t>《天津市地方税务局 天津市财政局 天津市国土资源和房屋管理局关于调整我市普通住房价格标准的通知》</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津地税地〔2014〕5号</w:t>
            </w:r>
          </w:p>
        </w:tc>
      </w:tr>
      <w:tr w:rsidR="00EC30E8" w:rsidTr="00110716">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9</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szCs w:val="24"/>
                <w:lang/>
              </w:rPr>
              <w:t>《天津市地方税务局 天津市国土资源和房屋管理局关于加强存量住宅交易税收征管工作的通知》</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津地税地〔2014〕6号</w:t>
            </w:r>
          </w:p>
        </w:tc>
      </w:tr>
      <w:tr w:rsidR="00EC30E8" w:rsidTr="00110716">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10</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《天津市地方税务局关于契税征管及政策问题的通知》</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津地税地〔2014〕24号</w:t>
            </w:r>
          </w:p>
        </w:tc>
      </w:tr>
      <w:tr w:rsidR="00EC30E8" w:rsidTr="00110716">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11</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《天津市地方税务局关于调整购房人办理退房有关契税执行政策问题的通知》</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津地税地〔2015〕42号</w:t>
            </w:r>
          </w:p>
        </w:tc>
      </w:tr>
      <w:tr w:rsidR="00EC30E8" w:rsidTr="00110716">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12</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《天津市地方税务局 天津市国土资源和房屋管理局关于明确土地契税申报纳税期限的公告》</w:t>
            </w:r>
          </w:p>
        </w:tc>
        <w:tc>
          <w:tcPr>
            <w:tcW w:w="3456" w:type="dxa"/>
            <w:noWrap/>
            <w:vAlign w:val="center"/>
          </w:tcPr>
          <w:p w:rsidR="00EC30E8" w:rsidRDefault="00EC30E8" w:rsidP="00110716">
            <w:pPr>
              <w:jc w:val="center"/>
              <w:rPr>
                <w:rFonts w:ascii="仿宋_GB2312" w:eastAsia="仿宋_GB2312" w:cs="仿宋_GB2312"/>
                <w:color w:val="000000"/>
                <w:sz w:val="32"/>
                <w:lang/>
              </w:rPr>
            </w:pPr>
          </w:p>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2014年第6号</w:t>
            </w:r>
          </w:p>
        </w:tc>
      </w:tr>
      <w:tr w:rsidR="00EC30E8" w:rsidTr="00110716">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13</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《天津市地方税务局关于明确房屋契税退税问题的公告》</w:t>
            </w:r>
          </w:p>
          <w:p w:rsidR="00EC30E8" w:rsidRDefault="00EC30E8" w:rsidP="00110716">
            <w:pPr>
              <w:jc w:val="center"/>
              <w:rPr>
                <w:rFonts w:ascii="仿宋_GB2312" w:eastAsia="仿宋_GB2312" w:cs="仿宋_GB2312"/>
                <w:color w:val="000000"/>
                <w:sz w:val="32"/>
                <w:lang/>
              </w:rPr>
            </w:pP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2016年第17号</w:t>
            </w:r>
          </w:p>
        </w:tc>
      </w:tr>
      <w:tr w:rsidR="00EC30E8" w:rsidTr="00110716">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lastRenderedPageBreak/>
              <w:t>序号</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文件标题</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文号</w:t>
            </w:r>
          </w:p>
        </w:tc>
      </w:tr>
      <w:tr w:rsidR="00EC30E8" w:rsidTr="00110716">
        <w:tc>
          <w:tcPr>
            <w:tcW w:w="948"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14</w:t>
            </w:r>
          </w:p>
        </w:tc>
        <w:tc>
          <w:tcPr>
            <w:tcW w:w="5064"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《天津市地方税务局关于明确契税耕地占用税减免管理问题的公告》</w:t>
            </w:r>
          </w:p>
        </w:tc>
        <w:tc>
          <w:tcPr>
            <w:tcW w:w="3456" w:type="dxa"/>
            <w:noWrap/>
            <w:vAlign w:val="center"/>
          </w:tcPr>
          <w:p w:rsidR="00EC30E8" w:rsidRDefault="00EC30E8" w:rsidP="00110716">
            <w:pPr>
              <w:jc w:val="center"/>
              <w:rPr>
                <w:rFonts w:ascii="仿宋_GB2312" w:eastAsia="仿宋_GB2312" w:cs="仿宋_GB2312"/>
                <w:color w:val="000000"/>
                <w:sz w:val="32"/>
                <w:lang/>
              </w:rPr>
            </w:pPr>
            <w:r>
              <w:rPr>
                <w:rFonts w:ascii="仿宋_GB2312" w:eastAsia="仿宋_GB2312" w:cs="仿宋_GB2312" w:hint="eastAsia"/>
                <w:color w:val="000000"/>
                <w:sz w:val="32"/>
                <w:lang/>
              </w:rPr>
              <w:t>2016年第18号</w:t>
            </w:r>
          </w:p>
        </w:tc>
      </w:tr>
    </w:tbl>
    <w:p w:rsidR="00EC30E8" w:rsidRDefault="00EC30E8" w:rsidP="00EC30E8">
      <w:bookmarkStart w:id="0" w:name="_GoBack"/>
      <w:bookmarkEnd w:id="0"/>
    </w:p>
    <w:p w:rsidR="00000000" w:rsidRDefault="00EC30E8"/>
    <w:sectPr w:rsidR="00000000" w:rsidSect="006062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0E8" w:rsidRDefault="00EC30E8" w:rsidP="00EC30E8">
      <w:r>
        <w:separator/>
      </w:r>
    </w:p>
  </w:endnote>
  <w:endnote w:type="continuationSeparator" w:id="1">
    <w:p w:rsidR="00EC30E8" w:rsidRDefault="00EC30E8" w:rsidP="00EC3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0"/>
    <w:family w:val="auto"/>
    <w:pitch w:val="variable"/>
    <w:sig w:usb0="00000283" w:usb1="080F0C10" w:usb2="00000012" w:usb3="00000000" w:csb0="0002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0E8" w:rsidRDefault="00EC30E8" w:rsidP="00EC30E8">
      <w:r>
        <w:separator/>
      </w:r>
    </w:p>
  </w:footnote>
  <w:footnote w:type="continuationSeparator" w:id="1">
    <w:p w:rsidR="00EC30E8" w:rsidRDefault="00EC30E8" w:rsidP="00EC30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0E8"/>
    <w:rsid w:val="00EC3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30E8"/>
    <w:pPr>
      <w:overflowPunct w:val="0"/>
      <w:autoSpaceDE w:val="0"/>
      <w:autoSpaceDN w:val="0"/>
      <w:adjustRightInd w:val="0"/>
      <w:jc w:val="both"/>
      <w:textAlignment w:val="baseline"/>
    </w:pPr>
    <w:rPr>
      <w:rFonts w:ascii="Times New Roman" w:eastAsia="宋体" w:hAnsi="Times New Roman" w:cs="Times New Roman"/>
      <w:kern w:val="0"/>
      <w:szCs w:val="20"/>
    </w:rPr>
  </w:style>
  <w:style w:type="paragraph" w:styleId="1">
    <w:name w:val="heading 1"/>
    <w:basedOn w:val="a"/>
    <w:next w:val="a"/>
    <w:link w:val="1Char"/>
    <w:qFormat/>
    <w:rsid w:val="00EC30E8"/>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C30E8"/>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EC30E8"/>
    <w:rPr>
      <w:sz w:val="18"/>
      <w:szCs w:val="18"/>
    </w:rPr>
  </w:style>
  <w:style w:type="paragraph" w:styleId="a5">
    <w:name w:val="footer"/>
    <w:basedOn w:val="a"/>
    <w:link w:val="Char0"/>
    <w:uiPriority w:val="99"/>
    <w:semiHidden/>
    <w:unhideWhenUsed/>
    <w:rsid w:val="00EC30E8"/>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EC30E8"/>
    <w:rPr>
      <w:sz w:val="18"/>
      <w:szCs w:val="18"/>
    </w:rPr>
  </w:style>
  <w:style w:type="character" w:customStyle="1" w:styleId="1Char">
    <w:name w:val="标题 1 Char"/>
    <w:basedOn w:val="a1"/>
    <w:link w:val="1"/>
    <w:rsid w:val="00EC30E8"/>
    <w:rPr>
      <w:rFonts w:ascii="Times New Roman" w:eastAsia="宋体" w:hAnsi="Times New Roman" w:cs="Times New Roman"/>
      <w:b/>
      <w:bCs/>
      <w:kern w:val="44"/>
      <w:sz w:val="44"/>
      <w:szCs w:val="44"/>
    </w:rPr>
  </w:style>
  <w:style w:type="paragraph" w:styleId="a0">
    <w:name w:val="Body Text"/>
    <w:basedOn w:val="a"/>
    <w:link w:val="Char1"/>
    <w:uiPriority w:val="99"/>
    <w:semiHidden/>
    <w:unhideWhenUsed/>
    <w:rsid w:val="00EC30E8"/>
    <w:pPr>
      <w:spacing w:after="120"/>
    </w:pPr>
  </w:style>
  <w:style w:type="character" w:customStyle="1" w:styleId="Char1">
    <w:name w:val="正文文本 Char"/>
    <w:basedOn w:val="a1"/>
    <w:link w:val="a0"/>
    <w:uiPriority w:val="99"/>
    <w:semiHidden/>
    <w:rsid w:val="00EC30E8"/>
    <w:rPr>
      <w:rFonts w:ascii="Times New Roman"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Words>
  <Characters>708</Characters>
  <Application>Microsoft Office Word</Application>
  <DocSecurity>0</DocSecurity>
  <Lines>5</Lines>
  <Paragraphs>1</Paragraphs>
  <ScaleCrop>false</ScaleCrop>
  <Company>China</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张小莉</dc:creator>
  <cp:keywords/>
  <dc:description/>
  <cp:lastModifiedBy>张小莉</cp:lastModifiedBy>
  <cp:revision>2</cp:revision>
  <dcterms:created xsi:type="dcterms:W3CDTF">2023-11-27T03:11:00Z</dcterms:created>
  <dcterms:modified xsi:type="dcterms:W3CDTF">2023-11-27T03:12:00Z</dcterms:modified>
</cp:coreProperties>
</file>