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FFFFFF"/>
        </w:rPr>
        <w:t>扩大实施缓缴政策的困难行业名单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农副食品加工业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纺织业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纺织服装、服饰业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造纸和纸制品业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印刷和记录媒介复制业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医药制造业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化学纤维制造业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橡胶和塑料制品业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通用设备制造业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汽车制造业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铁路、船舶、航空航天和其他运输设备制造业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仪器仪表制造业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社会工作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广播、电视、电影和录音制作业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文化艺术业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体育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娱乐业</w:t>
      </w:r>
    </w:p>
    <w:sectPr>
      <w:pgSz w:w="11906" w:h="16838"/>
      <w:pgMar w:top="2268" w:right="1587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7DF83"/>
    <w:rsid w:val="1FB7DF83"/>
    <w:rsid w:val="6EFF17B1"/>
    <w:rsid w:val="7F9226DC"/>
    <w:rsid w:val="FDAFC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ind w:firstLine="0" w:firstLineChars="0"/>
      <w:jc w:val="center"/>
      <w:outlineLvl w:val="0"/>
    </w:pPr>
    <w:rPr>
      <w:rFonts w:ascii="Calibri" w:hAnsi="Calibri" w:eastAsia="宋体-简" w:cs="Times New Roman"/>
      <w:kern w:val="44"/>
      <w:sz w:val="28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DejaVu Sans" w:hAnsi="DejaVu Sans" w:eastAsia="宋体-简" w:cs="Times New Roman"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after="120" w:line="480" w:lineRule="auto"/>
      <w:ind w:left="360"/>
      <w:jc w:val="both"/>
      <w:textAlignment w:val="baseline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2022-06-06T20:51:00Z</dcterms:created>
  <dc:creator>姚乃嘉</dc:creator>
  <cp:lastModifiedBy>姚乃嘉</cp:lastModifiedBy>
  <dcterms:modified xsi:type="dcterms:W3CDTF">2022-06-06T20:52:49Z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906489C2932BBDF75FF89D627095D865</vt:lpwstr>
  </property>
</Properties>
</file>