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80" w:rsidRDefault="00F65280" w:rsidP="00F65280">
      <w:pPr>
        <w:spacing w:line="700" w:lineRule="exact"/>
        <w:jc w:val="center"/>
        <w:rPr>
          <w:rFonts w:asciiTheme="minorEastAsia" w:hAnsiTheme="minorEastAsia"/>
          <w:sz w:val="28"/>
          <w:szCs w:val="28"/>
        </w:rPr>
      </w:pPr>
      <w:r w:rsidRPr="00F65280">
        <w:rPr>
          <w:rFonts w:asciiTheme="minorEastAsia" w:hAnsiTheme="minorEastAsia" w:hint="eastAsia"/>
          <w:sz w:val="28"/>
          <w:szCs w:val="28"/>
        </w:rPr>
        <w:t>关于</w:t>
      </w:r>
      <w:proofErr w:type="gramStart"/>
      <w:r w:rsidRPr="00F65280">
        <w:rPr>
          <w:rFonts w:asciiTheme="minorEastAsia" w:hAnsiTheme="minorEastAsia" w:hint="eastAsia"/>
          <w:sz w:val="28"/>
          <w:szCs w:val="28"/>
        </w:rPr>
        <w:t>《</w:t>
      </w:r>
      <w:proofErr w:type="gramEnd"/>
      <w:r w:rsidRPr="00F65280">
        <w:rPr>
          <w:rFonts w:asciiTheme="minorEastAsia" w:hAnsiTheme="minorEastAsia" w:hint="eastAsia"/>
          <w:sz w:val="28"/>
          <w:szCs w:val="28"/>
        </w:rPr>
        <w:t>国家税务总局西藏自治区税务局关于发布&lt;西藏自治区土地</w:t>
      </w:r>
    </w:p>
    <w:p w:rsidR="00F65280" w:rsidRPr="00F65280" w:rsidRDefault="00F65280" w:rsidP="00F65280">
      <w:pPr>
        <w:spacing w:line="700" w:lineRule="exact"/>
        <w:jc w:val="center"/>
        <w:rPr>
          <w:rFonts w:asciiTheme="minorEastAsia" w:hAnsiTheme="minorEastAsia"/>
          <w:color w:val="FF0000"/>
          <w:sz w:val="28"/>
          <w:szCs w:val="28"/>
        </w:rPr>
      </w:pPr>
      <w:r w:rsidRPr="00F65280">
        <w:rPr>
          <w:rFonts w:asciiTheme="minorEastAsia" w:hAnsiTheme="minorEastAsia" w:hint="eastAsia"/>
          <w:sz w:val="28"/>
          <w:szCs w:val="28"/>
        </w:rPr>
        <w:t>增值税清算管理规程（试行）&gt;的公告</w:t>
      </w:r>
      <w:proofErr w:type="gramStart"/>
      <w:r w:rsidRPr="00F65280">
        <w:rPr>
          <w:rFonts w:asciiTheme="minorEastAsia" w:hAnsiTheme="minorEastAsia" w:hint="eastAsia"/>
          <w:sz w:val="28"/>
          <w:szCs w:val="28"/>
        </w:rPr>
        <w:t>》</w:t>
      </w:r>
      <w:proofErr w:type="gramEnd"/>
      <w:r w:rsidRPr="00F65280">
        <w:rPr>
          <w:rFonts w:asciiTheme="minorEastAsia" w:hAnsiTheme="minorEastAsia" w:hint="eastAsia"/>
          <w:sz w:val="28"/>
          <w:szCs w:val="28"/>
        </w:rPr>
        <w:t>的解读</w:t>
      </w:r>
    </w:p>
    <w:p w:rsidR="00F65280" w:rsidRPr="00F65280" w:rsidRDefault="00F65280" w:rsidP="00F65280">
      <w:pPr>
        <w:rPr>
          <w:rFonts w:asciiTheme="minorEastAsia" w:hAnsiTheme="minorEastAsia"/>
          <w:sz w:val="28"/>
          <w:szCs w:val="28"/>
        </w:rPr>
      </w:pPr>
      <w:r w:rsidRPr="00F65280">
        <w:rPr>
          <w:rFonts w:asciiTheme="minorEastAsia" w:hAnsiTheme="minorEastAsia" w:hint="eastAsia"/>
          <w:sz w:val="28"/>
          <w:szCs w:val="28"/>
        </w:rPr>
        <w:t>现将《国家税务总局西藏自治区税务局关于发布&lt;西藏自治区土地增值税清算管理规程（试行）&gt;的公告》（国家税务总局西藏自治区税务局公告2022年第2号，以下简称《公告》）解读如下：</w:t>
      </w:r>
    </w:p>
    <w:p w:rsidR="00F65280" w:rsidRPr="00F65280" w:rsidRDefault="00F65280" w:rsidP="00F65280">
      <w:pPr>
        <w:ind w:firstLine="645"/>
        <w:rPr>
          <w:rFonts w:asciiTheme="minorEastAsia" w:hAnsiTheme="minorEastAsia" w:cs="仿宋_GB2312"/>
          <w:color w:val="333333"/>
          <w:sz w:val="28"/>
          <w:szCs w:val="28"/>
        </w:rPr>
      </w:pPr>
      <w:r w:rsidRPr="00F65280">
        <w:rPr>
          <w:rFonts w:asciiTheme="minorEastAsia" w:hAnsiTheme="minorEastAsia" w:cs="仿宋_GB2312" w:hint="eastAsia"/>
          <w:color w:val="333333"/>
          <w:sz w:val="28"/>
          <w:szCs w:val="28"/>
        </w:rPr>
        <w:t>一、制定背景及目的</w:t>
      </w:r>
    </w:p>
    <w:p w:rsidR="00F65280" w:rsidRPr="00F65280" w:rsidRDefault="00F65280" w:rsidP="00F65280">
      <w:pPr>
        <w:spacing w:line="450" w:lineRule="atLeast"/>
        <w:ind w:firstLineChars="200" w:firstLine="560"/>
        <w:rPr>
          <w:rFonts w:asciiTheme="minorEastAsia" w:hAnsiTheme="minorEastAsia" w:cs="Times New Roman"/>
          <w:kern w:val="0"/>
          <w:sz w:val="28"/>
          <w:szCs w:val="28"/>
        </w:rPr>
      </w:pPr>
      <w:r w:rsidRPr="00F65280">
        <w:rPr>
          <w:rFonts w:asciiTheme="minorEastAsia" w:hAnsiTheme="minorEastAsia" w:hint="eastAsia"/>
          <w:sz w:val="28"/>
          <w:szCs w:val="28"/>
        </w:rPr>
        <w:t>为加强土地增值税清算管理，国家税务总局先后出台了《国家税务总局关于房地产开发企业土地增值税清算管理有关问题的通知》（国税发〔2006〕187号）、《国家税务总局关于印发〈土地增值税清算管理规程〉的通知》（国税发〔2009〕91号），其中国税发〔2006〕187号规定“各省税务机关可依据本通知的规定并结合当地实际情况制定具体清算管理办法”，国税发〔2009〕91号规定“本规程自2009年6月1日起施行，各省（自治区、直辖市、计划单列市）税务机关可结合本地实际，对本规程进行进一步细化”。为此，我们按照税务总局要求，结合我区实际情况，制定了本公告。</w:t>
      </w:r>
    </w:p>
    <w:p w:rsidR="00F65280" w:rsidRPr="00F65280" w:rsidRDefault="00F65280" w:rsidP="00F65280">
      <w:pPr>
        <w:ind w:firstLineChars="200" w:firstLine="560"/>
        <w:rPr>
          <w:rFonts w:asciiTheme="minorEastAsia" w:hAnsiTheme="minorEastAsia"/>
          <w:sz w:val="28"/>
          <w:szCs w:val="28"/>
        </w:rPr>
      </w:pPr>
      <w:r w:rsidRPr="00F65280">
        <w:rPr>
          <w:rFonts w:asciiTheme="minorEastAsia" w:hAnsiTheme="minorEastAsia" w:hint="eastAsia"/>
          <w:sz w:val="28"/>
          <w:szCs w:val="28"/>
        </w:rPr>
        <w:t>土地增值税管理复杂，清算申报、清算审核工作时间跨度长，流程比较复杂，征纳双方互动频繁，通过制定《公告》，细化了清算申报、清算审核流程，进一步明确征纳双方的职责，既规范了税务机关的税收执法，又促进纳税遵从度的提高。</w:t>
      </w:r>
    </w:p>
    <w:p w:rsidR="00F65280" w:rsidRPr="00F65280" w:rsidRDefault="00F65280" w:rsidP="00F65280">
      <w:pPr>
        <w:spacing w:line="700" w:lineRule="exact"/>
        <w:ind w:firstLineChars="200" w:firstLine="560"/>
        <w:rPr>
          <w:rFonts w:asciiTheme="minorEastAsia" w:hAnsiTheme="minorEastAsia"/>
          <w:sz w:val="28"/>
          <w:szCs w:val="28"/>
        </w:rPr>
      </w:pPr>
      <w:r w:rsidRPr="00F65280">
        <w:rPr>
          <w:rFonts w:asciiTheme="minorEastAsia" w:hAnsiTheme="minorEastAsia" w:hint="eastAsia"/>
          <w:sz w:val="28"/>
          <w:szCs w:val="28"/>
        </w:rPr>
        <w:t>二、公告制定的依据</w:t>
      </w:r>
    </w:p>
    <w:p w:rsidR="00F65280" w:rsidRPr="00F65280" w:rsidRDefault="00F65280" w:rsidP="00F65280">
      <w:pPr>
        <w:spacing w:line="700" w:lineRule="exact"/>
        <w:ind w:firstLineChars="200" w:firstLine="560"/>
        <w:jc w:val="left"/>
        <w:rPr>
          <w:rFonts w:asciiTheme="minorEastAsia" w:hAnsiTheme="minorEastAsia" w:cs="仿宋_GB2312"/>
          <w:color w:val="333333"/>
          <w:sz w:val="28"/>
          <w:szCs w:val="28"/>
        </w:rPr>
      </w:pPr>
      <w:r w:rsidRPr="00F65280">
        <w:rPr>
          <w:rFonts w:asciiTheme="minorEastAsia" w:hAnsiTheme="minorEastAsia" w:hint="eastAsia"/>
          <w:sz w:val="28"/>
          <w:szCs w:val="28"/>
        </w:rPr>
        <w:t>《中华人民共和国税收征收管理法》及其实施细则、《中华人民共和</w:t>
      </w:r>
      <w:r w:rsidRPr="00F65280">
        <w:rPr>
          <w:rFonts w:asciiTheme="minorEastAsia" w:hAnsiTheme="minorEastAsia" w:hint="eastAsia"/>
          <w:sz w:val="28"/>
          <w:szCs w:val="28"/>
        </w:rPr>
        <w:lastRenderedPageBreak/>
        <w:t>国土地增值税暂行条例》及其实施细则</w:t>
      </w:r>
      <w:r w:rsidRPr="00F65280">
        <w:rPr>
          <w:rFonts w:asciiTheme="minorEastAsia" w:hAnsiTheme="minorEastAsia" w:hint="eastAsia"/>
          <w:color w:val="333333"/>
          <w:sz w:val="28"/>
          <w:szCs w:val="28"/>
        </w:rPr>
        <w:t>、</w:t>
      </w:r>
      <w:r w:rsidRPr="00F65280">
        <w:rPr>
          <w:rFonts w:asciiTheme="minorEastAsia" w:hAnsiTheme="minorEastAsia" w:hint="eastAsia"/>
          <w:sz w:val="28"/>
          <w:szCs w:val="28"/>
        </w:rPr>
        <w:t>《国家税务总局关于房地产开发企业土地增值税清算管理有关问题的通知》（国税发〔2006〕187号）和《国家税务总局关于印发〈土地增值税清算管理规程〉的通知》（国税发〔2009〕91号）、《税务规范性文件制定管理办法》（国家税务总局令第41号公布，第50号、53号修正）。</w:t>
      </w:r>
    </w:p>
    <w:p w:rsidR="00F65280" w:rsidRPr="00F65280" w:rsidRDefault="00F65280" w:rsidP="00F65280">
      <w:pPr>
        <w:spacing w:line="700" w:lineRule="exact"/>
        <w:ind w:firstLine="645"/>
        <w:rPr>
          <w:rFonts w:asciiTheme="minorEastAsia" w:hAnsiTheme="minorEastAsia" w:cs="Times New Roman"/>
          <w:color w:val="333333"/>
          <w:kern w:val="0"/>
          <w:sz w:val="28"/>
          <w:szCs w:val="28"/>
        </w:rPr>
      </w:pPr>
      <w:r w:rsidRPr="00F65280">
        <w:rPr>
          <w:rFonts w:asciiTheme="minorEastAsia" w:hAnsiTheme="minorEastAsia" w:hint="eastAsia"/>
          <w:color w:val="333333"/>
          <w:sz w:val="28"/>
          <w:szCs w:val="28"/>
        </w:rPr>
        <w:t>三、主要内容</w:t>
      </w:r>
    </w:p>
    <w:p w:rsidR="00F65280" w:rsidRPr="00F65280" w:rsidRDefault="00F65280" w:rsidP="00F65280">
      <w:pPr>
        <w:ind w:firstLineChars="200" w:firstLine="560"/>
        <w:rPr>
          <w:rFonts w:asciiTheme="minorEastAsia" w:hAnsiTheme="minorEastAsia"/>
          <w:sz w:val="28"/>
          <w:szCs w:val="28"/>
        </w:rPr>
      </w:pPr>
      <w:r w:rsidRPr="00F65280">
        <w:rPr>
          <w:rFonts w:asciiTheme="minorEastAsia" w:hAnsiTheme="minorEastAsia" w:hint="eastAsia"/>
          <w:sz w:val="28"/>
          <w:szCs w:val="28"/>
        </w:rPr>
        <w:t>（一）关于项目管理</w:t>
      </w:r>
    </w:p>
    <w:p w:rsidR="00F65280" w:rsidRPr="00F65280" w:rsidRDefault="00F65280" w:rsidP="00F65280">
      <w:pPr>
        <w:ind w:firstLineChars="200" w:firstLine="560"/>
        <w:rPr>
          <w:rFonts w:asciiTheme="minorEastAsia" w:hAnsiTheme="minorEastAsia"/>
          <w:sz w:val="28"/>
          <w:szCs w:val="28"/>
        </w:rPr>
      </w:pPr>
      <w:r w:rsidRPr="00F65280">
        <w:rPr>
          <w:rFonts w:asciiTheme="minorEastAsia" w:hAnsiTheme="minorEastAsia" w:hint="eastAsia"/>
          <w:sz w:val="28"/>
          <w:szCs w:val="28"/>
        </w:rPr>
        <w:t>1.清算单位的界定。分期开发的房地产项目，以</w:t>
      </w:r>
      <w:proofErr w:type="gramStart"/>
      <w:r w:rsidRPr="00F65280">
        <w:rPr>
          <w:rFonts w:asciiTheme="minorEastAsia" w:hAnsiTheme="minorEastAsia" w:hint="eastAsia"/>
          <w:sz w:val="28"/>
          <w:szCs w:val="28"/>
        </w:rPr>
        <w:t>分期项目</w:t>
      </w:r>
      <w:proofErr w:type="gramEnd"/>
      <w:r w:rsidRPr="00F65280">
        <w:rPr>
          <w:rFonts w:asciiTheme="minorEastAsia" w:hAnsiTheme="minorEastAsia" w:hint="eastAsia"/>
          <w:sz w:val="28"/>
          <w:szCs w:val="28"/>
        </w:rPr>
        <w:t>为单位清算，这是基本原则。如何对项目进行分期，需要根据各地房地产主管部门管理现状，具体情况具体分析，所以《公告》规定“具体结合项目立项、用地规划、方案设计审查（修建性详细规划）、工程规划、销售（预售）、竣工验收等确定”。</w:t>
      </w:r>
    </w:p>
    <w:p w:rsidR="00F65280" w:rsidRPr="00F65280" w:rsidRDefault="00F65280" w:rsidP="00F65280">
      <w:pPr>
        <w:spacing w:line="360" w:lineRule="auto"/>
        <w:ind w:firstLineChars="200" w:firstLine="560"/>
        <w:jc w:val="left"/>
        <w:rPr>
          <w:rFonts w:asciiTheme="minorEastAsia" w:hAnsiTheme="minorEastAsia"/>
          <w:sz w:val="28"/>
          <w:szCs w:val="28"/>
        </w:rPr>
      </w:pPr>
      <w:r w:rsidRPr="00F65280">
        <w:rPr>
          <w:rFonts w:asciiTheme="minorEastAsia" w:hAnsiTheme="minorEastAsia" w:hint="eastAsia"/>
          <w:sz w:val="28"/>
          <w:szCs w:val="28"/>
        </w:rPr>
        <w:t>2.项目日常管理。《公告》强化了税务机关对房地产开发项目的日常税收管理，结合国税发〔2009〕91号第六条规定的税务机关项目管理内容，对纳税人报送资料</w:t>
      </w:r>
      <w:proofErr w:type="gramStart"/>
      <w:r w:rsidRPr="00F65280">
        <w:rPr>
          <w:rFonts w:asciiTheme="minorEastAsia" w:hAnsiTheme="minorEastAsia" w:hint="eastAsia"/>
          <w:sz w:val="28"/>
          <w:szCs w:val="28"/>
        </w:rPr>
        <w:t>作出</w:t>
      </w:r>
      <w:proofErr w:type="gramEnd"/>
      <w:r w:rsidRPr="00F65280">
        <w:rPr>
          <w:rFonts w:asciiTheme="minorEastAsia" w:hAnsiTheme="minorEastAsia" w:hint="eastAsia"/>
          <w:sz w:val="28"/>
          <w:szCs w:val="28"/>
        </w:rPr>
        <w:t>具体规定。明确主管税务机关保持管理连续性，积极关注纳税人会计核算、督促纳税人按照要求合理归集有关收入、成本、费用。</w:t>
      </w:r>
    </w:p>
    <w:p w:rsidR="00F65280" w:rsidRPr="00F65280" w:rsidRDefault="00F65280" w:rsidP="00F65280">
      <w:pPr>
        <w:widowControl/>
        <w:numPr>
          <w:ilvl w:val="0"/>
          <w:numId w:val="7"/>
        </w:numPr>
        <w:overflowPunct w:val="0"/>
        <w:autoSpaceDE w:val="0"/>
        <w:autoSpaceDN w:val="0"/>
        <w:adjustRightInd w:val="0"/>
        <w:spacing w:line="360" w:lineRule="auto"/>
        <w:ind w:firstLineChars="200" w:firstLine="560"/>
        <w:jc w:val="left"/>
        <w:textAlignment w:val="baseline"/>
        <w:rPr>
          <w:rFonts w:asciiTheme="minorEastAsia" w:hAnsiTheme="minorEastAsia"/>
          <w:sz w:val="28"/>
          <w:szCs w:val="28"/>
        </w:rPr>
      </w:pPr>
      <w:r w:rsidRPr="00F65280">
        <w:rPr>
          <w:rFonts w:asciiTheme="minorEastAsia" w:hAnsiTheme="minorEastAsia" w:hint="eastAsia"/>
          <w:sz w:val="28"/>
          <w:szCs w:val="28"/>
        </w:rPr>
        <w:t>关于“清算管理”工作模式</w:t>
      </w:r>
    </w:p>
    <w:p w:rsidR="00F65280" w:rsidRPr="00F65280" w:rsidRDefault="00F65280" w:rsidP="00F65280">
      <w:pPr>
        <w:spacing w:line="360" w:lineRule="auto"/>
        <w:ind w:firstLineChars="200" w:firstLine="560"/>
        <w:jc w:val="left"/>
        <w:rPr>
          <w:rFonts w:asciiTheme="minorEastAsia" w:hAnsiTheme="minorEastAsia"/>
          <w:sz w:val="28"/>
          <w:szCs w:val="28"/>
        </w:rPr>
      </w:pPr>
      <w:r w:rsidRPr="00F65280">
        <w:rPr>
          <w:rFonts w:asciiTheme="minorEastAsia" w:hAnsiTheme="minorEastAsia" w:hint="eastAsia"/>
          <w:sz w:val="28"/>
          <w:szCs w:val="28"/>
        </w:rPr>
        <w:t>为确保土地增值税清算。审核工作更加有效和规范统一，《公告》第十七条至第二十条明确各市（地、经开区）税务机关应集中本单位专业人才成立“清算审核风险管理团队”，对清算项目的收入、成本、费用等进</w:t>
      </w:r>
      <w:r w:rsidRPr="00F65280">
        <w:rPr>
          <w:rFonts w:asciiTheme="minorEastAsia" w:hAnsiTheme="minorEastAsia" w:hint="eastAsia"/>
          <w:sz w:val="28"/>
          <w:szCs w:val="28"/>
        </w:rPr>
        <w:lastRenderedPageBreak/>
        <w:t>行风险排查，降低主管税务机关的土地增值税清算审核执法风险。</w:t>
      </w:r>
    </w:p>
    <w:p w:rsidR="00F65280" w:rsidRPr="00F65280" w:rsidRDefault="00F65280" w:rsidP="00F65280">
      <w:pPr>
        <w:ind w:firstLineChars="200" w:firstLine="560"/>
        <w:rPr>
          <w:rFonts w:asciiTheme="minorEastAsia" w:hAnsiTheme="minorEastAsia"/>
          <w:sz w:val="28"/>
          <w:szCs w:val="28"/>
        </w:rPr>
      </w:pPr>
      <w:r w:rsidRPr="00F65280">
        <w:rPr>
          <w:rFonts w:asciiTheme="minorEastAsia" w:hAnsiTheme="minorEastAsia" w:hint="eastAsia"/>
          <w:sz w:val="28"/>
          <w:szCs w:val="28"/>
        </w:rPr>
        <w:t xml:space="preserve">（三）关于成本费用分摊。《公告》第二十五条明确了多个清算单位内发生的成本、费用如何分摊，即对按照税收规定属于可直接计入的扣除项目,应直接计入清算单位或开发产品类型的扣除项目;对属于多个清算单位共同发生的扣除项目,其中:取得土地使用权所支付的金额按照占地面积法(即其转让土地使用权的面积占可转让土地使用权总面积的比例)在多个清算单位之间进行分摊;其他共同发生的扣除项目,按照建筑面积法(即其可售建筑面积占多个项目可售总建筑面积的比例)在多个清算单位之间进行分摊。明确了同一清算单位内发生的成本、费用如何分摊，即对一个清算单位中的不同类型房地产开发产品应分别计算增值额的,对其共同发生的扣除项目,按照建筑面积法进行分摊。 </w:t>
      </w:r>
    </w:p>
    <w:p w:rsidR="00F65280" w:rsidRPr="00F65280" w:rsidRDefault="00F65280" w:rsidP="00F65280">
      <w:pPr>
        <w:ind w:firstLineChars="200" w:firstLine="560"/>
        <w:rPr>
          <w:rFonts w:asciiTheme="minorEastAsia" w:hAnsiTheme="minorEastAsia"/>
          <w:sz w:val="28"/>
          <w:szCs w:val="28"/>
        </w:rPr>
      </w:pPr>
      <w:r w:rsidRPr="00F65280">
        <w:rPr>
          <w:rFonts w:asciiTheme="minorEastAsia" w:hAnsiTheme="minorEastAsia" w:hint="eastAsia"/>
          <w:sz w:val="28"/>
          <w:szCs w:val="28"/>
        </w:rPr>
        <w:t>（四）清算后尾盘管理</w:t>
      </w:r>
    </w:p>
    <w:p w:rsidR="00F65280" w:rsidRPr="00F65280" w:rsidRDefault="00F65280" w:rsidP="00F65280">
      <w:pPr>
        <w:ind w:firstLineChars="200" w:firstLine="560"/>
        <w:rPr>
          <w:rFonts w:asciiTheme="minorEastAsia" w:hAnsiTheme="minorEastAsia"/>
          <w:sz w:val="28"/>
          <w:szCs w:val="28"/>
        </w:rPr>
      </w:pPr>
      <w:r w:rsidRPr="00F65280">
        <w:rPr>
          <w:rFonts w:asciiTheme="minorEastAsia" w:hAnsiTheme="minorEastAsia" w:hint="eastAsia"/>
          <w:sz w:val="28"/>
          <w:szCs w:val="28"/>
        </w:rPr>
        <w:t>《公告》第七章就规范尾盘管</w:t>
      </w:r>
      <w:proofErr w:type="gramStart"/>
      <w:r w:rsidRPr="00F65280">
        <w:rPr>
          <w:rFonts w:asciiTheme="minorEastAsia" w:hAnsiTheme="minorEastAsia" w:hint="eastAsia"/>
          <w:sz w:val="28"/>
          <w:szCs w:val="28"/>
        </w:rPr>
        <w:t>理提出</w:t>
      </w:r>
      <w:proofErr w:type="gramEnd"/>
      <w:r w:rsidRPr="00F65280">
        <w:rPr>
          <w:rFonts w:asciiTheme="minorEastAsia" w:hAnsiTheme="minorEastAsia" w:hint="eastAsia"/>
          <w:sz w:val="28"/>
          <w:szCs w:val="28"/>
        </w:rPr>
        <w:t>了要求，即土地增值税清算审核期间转让房地产的，按规定预征土地增值税，待税务机关出具清算结论后，纳税人按照清算后再转让的规定汇总申报缴纳土地增值税，多退少补。清算后再转让的，纳税人应按月汇总，并在次月15日内申报缴纳土地增值税。</w:t>
      </w:r>
    </w:p>
    <w:p w:rsidR="00F65280" w:rsidRPr="00F65280" w:rsidRDefault="00F65280" w:rsidP="00F65280">
      <w:pPr>
        <w:spacing w:line="700" w:lineRule="exact"/>
        <w:ind w:firstLineChars="200" w:firstLine="560"/>
        <w:rPr>
          <w:rFonts w:asciiTheme="minorEastAsia" w:hAnsiTheme="minorEastAsia"/>
          <w:sz w:val="28"/>
          <w:szCs w:val="28"/>
        </w:rPr>
      </w:pPr>
      <w:r w:rsidRPr="00F65280">
        <w:rPr>
          <w:rFonts w:asciiTheme="minorEastAsia" w:hAnsiTheme="minorEastAsia" w:hint="eastAsia"/>
          <w:sz w:val="28"/>
          <w:szCs w:val="28"/>
        </w:rPr>
        <w:t>四、公告的施行时间</w:t>
      </w:r>
    </w:p>
    <w:p w:rsidR="00F65280" w:rsidRPr="00F65280" w:rsidRDefault="00F65280" w:rsidP="00F65280">
      <w:pPr>
        <w:ind w:firstLineChars="200" w:firstLine="560"/>
        <w:rPr>
          <w:rFonts w:asciiTheme="minorEastAsia" w:hAnsiTheme="minorEastAsia"/>
          <w:sz w:val="28"/>
          <w:szCs w:val="28"/>
        </w:rPr>
      </w:pPr>
      <w:r w:rsidRPr="00F65280">
        <w:rPr>
          <w:rFonts w:asciiTheme="minorEastAsia" w:hAnsiTheme="minorEastAsia" w:hint="eastAsia"/>
          <w:sz w:val="28"/>
          <w:szCs w:val="28"/>
        </w:rPr>
        <w:t>本公告自发布之日起30日后施行，此前已受理但未出具清算审核结论的，可按本规程处理。</w:t>
      </w:r>
    </w:p>
    <w:p w:rsidR="00F65280" w:rsidRPr="00F65280" w:rsidRDefault="00F65280" w:rsidP="00521357">
      <w:pPr>
        <w:spacing w:line="360" w:lineRule="auto"/>
        <w:ind w:firstLineChars="200" w:firstLine="560"/>
        <w:jc w:val="left"/>
        <w:rPr>
          <w:rFonts w:asciiTheme="minorEastAsia" w:hAnsiTheme="minorEastAsia"/>
          <w:color w:val="000000" w:themeColor="text1"/>
          <w:sz w:val="28"/>
          <w:szCs w:val="28"/>
        </w:rPr>
      </w:pPr>
    </w:p>
    <w:p w:rsidR="00C405C7" w:rsidRPr="00C405C7" w:rsidRDefault="00C405C7" w:rsidP="00521357">
      <w:pPr>
        <w:spacing w:line="360" w:lineRule="auto"/>
        <w:rPr>
          <w:rFonts w:asciiTheme="minorEastAsia" w:hAnsiTheme="minorEastAsia"/>
          <w:color w:val="000000" w:themeColor="text1"/>
          <w:sz w:val="28"/>
          <w:szCs w:val="28"/>
        </w:rPr>
      </w:pPr>
    </w:p>
    <w:sectPr w:rsidR="00C405C7" w:rsidRPr="00C405C7" w:rsidSect="00C405C7">
      <w:pgSz w:w="11906" w:h="16838"/>
      <w:pgMar w:top="1701"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687" w:rsidRDefault="00A10687" w:rsidP="00A10687">
      <w:r>
        <w:separator/>
      </w:r>
    </w:p>
  </w:endnote>
  <w:endnote w:type="continuationSeparator" w:id="1">
    <w:p w:rsidR="00A10687" w:rsidRDefault="00A10687" w:rsidP="00A1068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687" w:rsidRDefault="00A10687" w:rsidP="00A10687">
      <w:r>
        <w:separator/>
      </w:r>
    </w:p>
  </w:footnote>
  <w:footnote w:type="continuationSeparator" w:id="1">
    <w:p w:rsidR="00A10687" w:rsidRDefault="00A10687" w:rsidP="00A10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6C37"/>
    <w:multiLevelType w:val="multilevel"/>
    <w:tmpl w:val="7B140F7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16669F"/>
    <w:multiLevelType w:val="hybridMultilevel"/>
    <w:tmpl w:val="4A6A3434"/>
    <w:lvl w:ilvl="0" w:tplc="38BA9CB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A24342"/>
    <w:multiLevelType w:val="multilevel"/>
    <w:tmpl w:val="D77AEC3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E21936"/>
    <w:multiLevelType w:val="multilevel"/>
    <w:tmpl w:val="B14C680E"/>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C95F95"/>
    <w:multiLevelType w:val="multilevel"/>
    <w:tmpl w:val="D6E6EDDC"/>
    <w:lvl w:ilvl="0">
      <w:start w:val="2"/>
      <w:numFmt w:val="chineseCounting"/>
      <w:suff w:val="space"/>
      <w:lvlText w:val="第%1章"/>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95476"/>
    <w:multiLevelType w:val="multilevel"/>
    <w:tmpl w:val="FE1AEB12"/>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94032BA"/>
    <w:multiLevelType w:val="multilevel"/>
    <w:tmpl w:val="7A7AFF9E"/>
    <w:lvl w:ilvl="0">
      <w:start w:val="9"/>
      <w:numFmt w:val="chineseCounting"/>
      <w:suff w:val="space"/>
      <w:lvlText w:val="第%1条"/>
      <w:lvlJc w:val="left"/>
      <w:pPr>
        <w:ind w:left="0" w:firstLine="0"/>
      </w:pPr>
      <w:rPr>
        <w:rFonts w:ascii="黑体" w:eastAsia="黑体" w:hAnsi="黑体" w:hint="eastAsia"/>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05C7"/>
    <w:rsid w:val="001B3D5D"/>
    <w:rsid w:val="00240AC7"/>
    <w:rsid w:val="00307F3C"/>
    <w:rsid w:val="00521357"/>
    <w:rsid w:val="00A10687"/>
    <w:rsid w:val="00C405C7"/>
    <w:rsid w:val="00F65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5C7"/>
    <w:pPr>
      <w:ind w:firstLineChars="200" w:firstLine="420"/>
    </w:pPr>
  </w:style>
  <w:style w:type="paragraph" w:styleId="a4">
    <w:name w:val="header"/>
    <w:basedOn w:val="a"/>
    <w:link w:val="Char"/>
    <w:uiPriority w:val="99"/>
    <w:semiHidden/>
    <w:unhideWhenUsed/>
    <w:rsid w:val="00A10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0687"/>
    <w:rPr>
      <w:sz w:val="18"/>
      <w:szCs w:val="18"/>
    </w:rPr>
  </w:style>
  <w:style w:type="paragraph" w:styleId="a5">
    <w:name w:val="footer"/>
    <w:basedOn w:val="a"/>
    <w:link w:val="Char0"/>
    <w:uiPriority w:val="99"/>
    <w:semiHidden/>
    <w:unhideWhenUsed/>
    <w:rsid w:val="00A1068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10687"/>
    <w:rPr>
      <w:sz w:val="18"/>
      <w:szCs w:val="18"/>
    </w:rPr>
  </w:style>
</w:styles>
</file>

<file path=word/webSettings.xml><?xml version="1.0" encoding="utf-8"?>
<w:webSettings xmlns:r="http://schemas.openxmlformats.org/officeDocument/2006/relationships" xmlns:w="http://schemas.openxmlformats.org/wordprocessingml/2006/main">
  <w:divs>
    <w:div w:id="790782130">
      <w:bodyDiv w:val="1"/>
      <w:marLeft w:val="0"/>
      <w:marRight w:val="0"/>
      <w:marTop w:val="0"/>
      <w:marBottom w:val="0"/>
      <w:divBdr>
        <w:top w:val="none" w:sz="0" w:space="0" w:color="auto"/>
        <w:left w:val="none" w:sz="0" w:space="0" w:color="auto"/>
        <w:bottom w:val="none" w:sz="0" w:space="0" w:color="auto"/>
        <w:right w:val="none" w:sz="0" w:space="0" w:color="auto"/>
      </w:divBdr>
    </w:div>
    <w:div w:id="17754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孔祥龙</dc:creator>
  <cp:keywords/>
  <dc:description/>
  <cp:lastModifiedBy>张小莉</cp:lastModifiedBy>
  <cp:revision>8</cp:revision>
  <dcterms:created xsi:type="dcterms:W3CDTF">2023-05-05T13:22:00Z</dcterms:created>
  <dcterms:modified xsi:type="dcterms:W3CDTF">2023-12-11T06:21:00Z</dcterms:modified>
</cp:coreProperties>
</file>