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  <w:bookmarkStart w:id="0" w:name="_GoBack"/>
      <w:bookmarkEnd w:id="0"/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231" w:line="180" w:lineRule="auto"/>
        <w:ind w:left="227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58"/>
          <w:w w:val="85"/>
          <w:sz w:val="71"/>
          <w:szCs w:val="71"/>
        </w:rPr>
        <w:t>人力资源社会保障部办公厅</w:t>
      </w:r>
    </w:p>
    <w:p>
      <w:pPr>
        <w:spacing w:before="6" w:line="194" w:lineRule="auto"/>
        <w:ind w:left="249" w:right="1455" w:firstLine="6761"/>
        <w:rPr>
          <w:rFonts w:ascii="宋体" w:hAnsi="宋体" w:eastAsia="宋体" w:cs="宋体"/>
          <w:sz w:val="69"/>
          <w:szCs w:val="69"/>
        </w:rPr>
      </w:pPr>
      <w:r>
        <w:rPr>
          <w:rFonts w:ascii="宋体" w:hAnsi="宋体" w:eastAsia="宋体" w:cs="宋体"/>
          <w:b/>
          <w:bCs/>
          <w:spacing w:val="27"/>
          <w:sz w:val="76"/>
          <w:szCs w:val="76"/>
        </w:rPr>
        <w:t>文件</w:t>
      </w:r>
      <w:r>
        <w:rPr>
          <w:rFonts w:ascii="宋体" w:hAnsi="宋体" w:eastAsia="宋体" w:cs="宋体"/>
          <w:sz w:val="76"/>
          <w:szCs w:val="76"/>
        </w:rPr>
        <w:t xml:space="preserve"> </w:t>
      </w:r>
      <w:r>
        <w:rPr>
          <w:rFonts w:ascii="宋体" w:hAnsi="宋体" w:eastAsia="宋体" w:cs="宋体"/>
          <w:b/>
          <w:bCs/>
          <w:spacing w:val="17"/>
          <w:sz w:val="69"/>
          <w:szCs w:val="69"/>
        </w:rPr>
        <w:t>国家税务总局办公厅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05" w:line="223" w:lineRule="auto"/>
        <w:ind w:left="28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人社厅发〔2022〕16号</w:t>
      </w:r>
    </w:p>
    <w:p>
      <w:pPr>
        <w:spacing w:before="191" w:line="30" w:lineRule="exact"/>
      </w:pPr>
      <w:r>
        <w:drawing>
          <wp:inline distT="0" distB="0" distL="0" distR="0">
            <wp:extent cx="5581650" cy="184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84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47" w:line="219" w:lineRule="auto"/>
        <w:ind w:left="51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9"/>
          <w:w w:val="90"/>
          <w:sz w:val="45"/>
          <w:szCs w:val="45"/>
        </w:rPr>
        <w:t>人力资源社会保障部办公厅</w:t>
      </w:r>
      <w:r>
        <w:rPr>
          <w:rFonts w:ascii="宋体" w:hAnsi="宋体" w:eastAsia="宋体" w:cs="宋体"/>
          <w:spacing w:val="-49"/>
          <w:w w:val="90"/>
          <w:sz w:val="45"/>
          <w:szCs w:val="45"/>
        </w:rPr>
        <w:t xml:space="preserve">  </w:t>
      </w:r>
      <w:r>
        <w:rPr>
          <w:rFonts w:ascii="宋体" w:hAnsi="宋体" w:eastAsia="宋体" w:cs="宋体"/>
          <w:b/>
          <w:bCs/>
          <w:spacing w:val="-49"/>
          <w:w w:val="90"/>
          <w:sz w:val="45"/>
          <w:szCs w:val="45"/>
        </w:rPr>
        <w:t>国家税务总局办公厅</w:t>
      </w:r>
    </w:p>
    <w:p>
      <w:pPr>
        <w:spacing w:before="117" w:line="219" w:lineRule="auto"/>
        <w:ind w:left="84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3"/>
          <w:w w:val="84"/>
          <w:sz w:val="45"/>
          <w:szCs w:val="45"/>
        </w:rPr>
        <w:t>关于特困行业阶段性实施缓缴企业社会保险费政策的通知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104" w:line="341" w:lineRule="auto"/>
        <w:ind w:left="79" w:right="12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各省、自治区、直辖市及新疆生产建设兵团人力资源社会保障厅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(局),国家税务总局各省、自治区、直辖市和计划单列</w:t>
      </w:r>
      <w:r>
        <w:rPr>
          <w:rFonts w:ascii="仿宋" w:hAnsi="仿宋" w:eastAsia="仿宋" w:cs="仿宋"/>
          <w:spacing w:val="8"/>
          <w:sz w:val="32"/>
          <w:szCs w:val="32"/>
        </w:rPr>
        <w:t>市税务</w:t>
      </w:r>
    </w:p>
    <w:p>
      <w:pPr>
        <w:spacing w:line="223" w:lineRule="auto"/>
        <w:ind w:left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局：</w:t>
      </w:r>
    </w:p>
    <w:p>
      <w:pPr>
        <w:spacing w:before="173" w:line="347" w:lineRule="auto"/>
        <w:ind w:left="79" w:right="1222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为贯彻党中央、国务院决策部署，抓好特困行业纾困政策落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实，现就阶段性实施缓缴企业职工基本养老保险费、失业保险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费、工伤保险费(以下简称“三项社保费”)相</w:t>
      </w:r>
      <w:r>
        <w:rPr>
          <w:rFonts w:ascii="仿宋" w:hAnsi="仿宋" w:eastAsia="仿宋" w:cs="仿宋"/>
          <w:spacing w:val="14"/>
          <w:sz w:val="32"/>
          <w:szCs w:val="32"/>
        </w:rPr>
        <w:t>关事项通知如</w:t>
      </w:r>
    </w:p>
    <w:p>
      <w:pPr>
        <w:spacing w:before="1" w:line="220" w:lineRule="auto"/>
        <w:ind w:left="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sz w:val="32"/>
          <w:szCs w:val="32"/>
        </w:rPr>
        <w:t>下：</w:t>
      </w:r>
    </w:p>
    <w:p>
      <w:pPr>
        <w:spacing w:line="220" w:lineRule="auto"/>
        <w:rPr>
          <w:rFonts w:ascii="宋体" w:hAnsi="宋体" w:eastAsia="宋体" w:cs="宋体"/>
          <w:sz w:val="32"/>
          <w:szCs w:val="32"/>
        </w:rPr>
        <w:sectPr>
          <w:headerReference r:id="rId5" w:type="default"/>
          <w:footerReference r:id="rId6" w:type="default"/>
          <w:pgSz w:w="11900" w:h="16840"/>
          <w:pgMar w:top="1" w:right="332" w:bottom="1891" w:left="1509" w:header="0" w:footer="1592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97" w:line="364" w:lineRule="auto"/>
        <w:ind w:right="76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一、适用范围。</w:t>
      </w:r>
      <w:r>
        <w:rPr>
          <w:rFonts w:ascii="仿宋" w:hAnsi="仿宋" w:eastAsia="仿宋" w:cs="仿宋"/>
          <w:spacing w:val="8"/>
          <w:sz w:val="30"/>
          <w:szCs w:val="30"/>
        </w:rPr>
        <w:t>缓缴适用于餐饮、零售、旅游、民航、公路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水路铁路运输企业三项社保费的单位应缴纳部分。上述行业中以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单位方式参加社会保险的有雇工的个体工商户以及其他</w:t>
      </w:r>
      <w:r>
        <w:rPr>
          <w:rFonts w:ascii="仿宋" w:hAnsi="仿宋" w:eastAsia="仿宋" w:cs="仿宋"/>
          <w:spacing w:val="11"/>
          <w:sz w:val="30"/>
          <w:szCs w:val="30"/>
        </w:rPr>
        <w:t>单位，参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照企业办法缓缴。对职工个人应缴纳部分，企业应依法履行好代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扣代缴义务。</w:t>
      </w:r>
    </w:p>
    <w:p>
      <w:pPr>
        <w:spacing w:before="265" w:line="363" w:lineRule="auto"/>
        <w:ind w:firstLine="6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 xml:space="preserve">以个人身份参加企业职工基本养老保险的个体工商户和各类 </w:t>
      </w:r>
      <w:r>
        <w:rPr>
          <w:rFonts w:ascii="仿宋" w:hAnsi="仿宋" w:eastAsia="仿宋" w:cs="仿宋"/>
          <w:spacing w:val="24"/>
          <w:sz w:val="30"/>
          <w:szCs w:val="30"/>
        </w:rPr>
        <w:t>灵活就业人员，2022年缴纳费款有困难的，可自愿暂缓缴费，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2022年未缴费月度可于2023年底前进行补缴，缴费基数在2023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年当地个人缴费基数上下限范围内自主选择，缴费年限累计计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算。</w:t>
      </w:r>
    </w:p>
    <w:p>
      <w:pPr>
        <w:spacing w:before="225" w:line="364" w:lineRule="auto"/>
        <w:ind w:right="85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二、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实施期限。</w:t>
      </w:r>
      <w:r>
        <w:rPr>
          <w:rFonts w:ascii="仿宋" w:hAnsi="仿宋" w:eastAsia="仿宋" w:cs="仿宋"/>
          <w:spacing w:val="6"/>
          <w:sz w:val="30"/>
          <w:szCs w:val="30"/>
        </w:rPr>
        <w:t>企业职工基本养老保险费缓缴费款</w:t>
      </w:r>
      <w:r>
        <w:rPr>
          <w:rFonts w:ascii="仿宋" w:hAnsi="仿宋" w:eastAsia="仿宋" w:cs="仿宋"/>
          <w:spacing w:val="5"/>
          <w:sz w:val="30"/>
          <w:szCs w:val="30"/>
        </w:rPr>
        <w:t>所属期为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2022年4月至6月。失业保险费、工伤保险费缓缴费款所属期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为2022年4月至2023年3月，在此期间，企业可申请不同期限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的缓缴。已缴纳所属期为2022年4月费</w:t>
      </w:r>
      <w:r>
        <w:rPr>
          <w:rFonts w:ascii="仿宋" w:hAnsi="仿宋" w:eastAsia="仿宋" w:cs="仿宋"/>
          <w:spacing w:val="29"/>
          <w:sz w:val="30"/>
          <w:szCs w:val="30"/>
        </w:rPr>
        <w:t>款的企业，可从5月起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申请缓缴，缓缴月份相应顺延一个月，也可以申请退回</w:t>
      </w:r>
      <w:r>
        <w:rPr>
          <w:rFonts w:ascii="仿宋" w:hAnsi="仿宋" w:eastAsia="仿宋" w:cs="仿宋"/>
          <w:spacing w:val="26"/>
          <w:sz w:val="30"/>
          <w:szCs w:val="30"/>
        </w:rPr>
        <w:t>4月费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款。缓缴期间免收滞纳金。</w:t>
      </w:r>
    </w:p>
    <w:p>
      <w:pPr>
        <w:spacing w:before="243" w:line="359" w:lineRule="auto"/>
        <w:ind w:right="108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三、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办理流程。</w:t>
      </w:r>
      <w:r>
        <w:rPr>
          <w:rFonts w:ascii="仿宋" w:hAnsi="仿宋" w:eastAsia="仿宋" w:cs="仿宋"/>
          <w:spacing w:val="8"/>
          <w:sz w:val="30"/>
          <w:szCs w:val="30"/>
        </w:rPr>
        <w:t>在缓缴期限内，企业可根据自身经营状况向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社会保险登记部门申请缓缴三项社保费。新开办企业可自参保当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月起申请缓缴；企业行业类型变更为上述行业的，可自变更当月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起申请缓缴。</w:t>
      </w:r>
    </w:p>
    <w:p>
      <w:pPr>
        <w:spacing w:before="272" w:line="601" w:lineRule="exact"/>
        <w:ind w:right="7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position w:val="22"/>
          <w:sz w:val="30"/>
          <w:szCs w:val="30"/>
        </w:rPr>
        <w:t>四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position w:val="22"/>
          <w:sz w:val="30"/>
          <w:szCs w:val="30"/>
        </w:rPr>
        <w:t>、</w:t>
      </w:r>
      <w:r>
        <w:rPr>
          <w:rFonts w:ascii="黑体" w:hAnsi="黑体" w:eastAsia="黑体" w:cs="黑体"/>
          <w:b/>
          <w:bCs/>
          <w:spacing w:val="4"/>
          <w:position w:val="22"/>
          <w:sz w:val="30"/>
          <w:szCs w:val="30"/>
        </w:rPr>
        <w:t>资格认定。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>各省要本着方便、快捷、不增加</w:t>
      </w:r>
      <w:r>
        <w:rPr>
          <w:rFonts w:ascii="仿宋" w:hAnsi="仿宋" w:eastAsia="仿宋" w:cs="仿宋"/>
          <w:spacing w:val="3"/>
          <w:position w:val="22"/>
          <w:sz w:val="30"/>
          <w:szCs w:val="30"/>
        </w:rPr>
        <w:t>企业事务性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负担的原则审核。社会保险登记部门审核企业是否适用缓缴政策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0" w:h="16840"/>
          <w:pgMar w:top="400" w:right="1460" w:bottom="1800" w:left="1629" w:header="0" w:footer="1502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97" w:line="357" w:lineRule="auto"/>
        <w:ind w:right="1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时，应以企业参保登记时自行申报的行业类型为依据。现有信息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无法满足划分行业类型需要的，可实行告知承诺制，由企业出具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所属行业类型的书面承诺，并承担相应法律责任。</w:t>
      </w:r>
    </w:p>
    <w:p>
      <w:pPr>
        <w:spacing w:before="244" w:line="368" w:lineRule="auto"/>
        <w:ind w:right="109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五、</w:t>
      </w: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补缴费款。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企业原则上应在缓缴期满后的一个月内补缴 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缓缴的失业保险、工伤保险费款；缓缴的企业职工基本养老保险 </w:t>
      </w:r>
      <w:r>
        <w:rPr>
          <w:rFonts w:ascii="仿宋" w:hAnsi="仿宋" w:eastAsia="仿宋" w:cs="仿宋"/>
          <w:spacing w:val="20"/>
          <w:sz w:val="30"/>
          <w:szCs w:val="30"/>
        </w:rPr>
        <w:t>费最迟于2022年底前补缴到位，期间免收滞纳金，税务部门应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及时提醒企业补缴。企业可根据实际需要，提前申报缴纳缓</w:t>
      </w:r>
      <w:r>
        <w:rPr>
          <w:rFonts w:ascii="仿宋" w:hAnsi="仿宋" w:eastAsia="仿宋" w:cs="仿宋"/>
          <w:spacing w:val="9"/>
          <w:sz w:val="30"/>
          <w:szCs w:val="30"/>
        </w:rPr>
        <w:t>缴的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费款，税务部门应及时征收。企业依法注销的，应当在注销前缴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纳缓缴的费款，相关部门按照注销流程及时办理。</w:t>
      </w:r>
    </w:p>
    <w:p>
      <w:pPr>
        <w:spacing w:before="247" w:line="357" w:lineRule="auto"/>
        <w:ind w:right="129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六、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待遇处理。</w:t>
      </w:r>
      <w:r>
        <w:rPr>
          <w:rFonts w:ascii="仿宋" w:hAnsi="仿宋" w:eastAsia="仿宋" w:cs="仿宋"/>
          <w:spacing w:val="5"/>
          <w:sz w:val="30"/>
          <w:szCs w:val="30"/>
        </w:rPr>
        <w:t>缓缴期限内，职工申领养老保险待遇的，企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业应先为其补齐缓缴的企业职工基本养老保</w:t>
      </w:r>
      <w:r>
        <w:rPr>
          <w:rFonts w:ascii="仿宋" w:hAnsi="仿宋" w:eastAsia="仿宋" w:cs="仿宋"/>
          <w:spacing w:val="9"/>
          <w:sz w:val="30"/>
          <w:szCs w:val="30"/>
        </w:rPr>
        <w:t>险费。缓缴失业保险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费不影响企业享受阶段性降低失业保险费率和稳岗返</w:t>
      </w:r>
      <w:r>
        <w:rPr>
          <w:rFonts w:ascii="仿宋" w:hAnsi="仿宋" w:eastAsia="仿宋" w:cs="仿宋"/>
          <w:spacing w:val="9"/>
          <w:sz w:val="30"/>
          <w:szCs w:val="30"/>
        </w:rPr>
        <w:t>还政策、不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影响参保职工享受技能提升补贴政策、不影响参保</w:t>
      </w:r>
      <w:r>
        <w:rPr>
          <w:rFonts w:ascii="仿宋" w:hAnsi="仿宋" w:eastAsia="仿宋" w:cs="仿宋"/>
          <w:spacing w:val="9"/>
          <w:sz w:val="30"/>
          <w:szCs w:val="30"/>
        </w:rPr>
        <w:t>失业人员享受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失业保险金或失业补助金等相关待遇。缓缴工伤保险费不影响企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业享受阶段性降低工伤保险费率政策和职工享受工伤保</w:t>
      </w:r>
      <w:r>
        <w:rPr>
          <w:rFonts w:ascii="仿宋" w:hAnsi="仿宋" w:eastAsia="仿宋" w:cs="仿宋"/>
          <w:spacing w:val="8"/>
          <w:sz w:val="30"/>
          <w:szCs w:val="30"/>
        </w:rPr>
        <w:t>险待遇。</w:t>
      </w:r>
    </w:p>
    <w:p>
      <w:pPr>
        <w:spacing w:before="275" w:line="363" w:lineRule="auto"/>
        <w:ind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 xml:space="preserve">各省人力资源社会保障、税务部门要高度重视、精心组织， </w:t>
      </w:r>
      <w:r>
        <w:rPr>
          <w:rFonts w:ascii="仿宋" w:hAnsi="仿宋" w:eastAsia="仿宋" w:cs="仿宋"/>
          <w:spacing w:val="10"/>
          <w:sz w:val="30"/>
          <w:szCs w:val="30"/>
        </w:rPr>
        <w:t>简化办事流程，大力推行“网上办”等不见面</w:t>
      </w:r>
      <w:r>
        <w:rPr>
          <w:rFonts w:ascii="仿宋" w:hAnsi="仿宋" w:eastAsia="仿宋" w:cs="仿宋"/>
          <w:spacing w:val="9"/>
          <w:sz w:val="30"/>
          <w:szCs w:val="30"/>
        </w:rPr>
        <w:t>服务方式。各地要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加强指导监督，健全内控机制，切实防范风险。要建立信息沟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通 </w:t>
      </w:r>
      <w:r>
        <w:rPr>
          <w:rFonts w:ascii="仿宋" w:hAnsi="仿宋" w:eastAsia="仿宋" w:cs="仿宋"/>
          <w:spacing w:val="10"/>
          <w:sz w:val="30"/>
          <w:szCs w:val="30"/>
        </w:rPr>
        <w:t>协调机制，参保企业自行向税务部门申报缴费的地区，税务部门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要按月将缓缴企业名称、统一社会信用代码</w:t>
      </w:r>
      <w:r>
        <w:rPr>
          <w:rFonts w:ascii="仿宋" w:hAnsi="仿宋" w:eastAsia="仿宋" w:cs="仿宋"/>
          <w:spacing w:val="9"/>
          <w:sz w:val="30"/>
          <w:szCs w:val="30"/>
        </w:rPr>
        <w:t>、企业行业类型、缓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缴险种及属期、缓缴期限、缓缴金额、人数等</w:t>
      </w:r>
      <w:r>
        <w:rPr>
          <w:rFonts w:ascii="仿宋" w:hAnsi="仿宋" w:eastAsia="仿宋" w:cs="仿宋"/>
          <w:spacing w:val="9"/>
          <w:sz w:val="30"/>
          <w:szCs w:val="30"/>
        </w:rPr>
        <w:t>信息传递给社会保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险经办机构；税务部门按照社会保险经办机构传递的缴费信息进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0" w:h="16840"/>
          <w:pgMar w:top="400" w:right="1420" w:bottom="1830" w:left="1660" w:header="0" w:footer="1532" w:gutter="0"/>
          <w:cols w:space="720" w:num="1"/>
        </w:sectPr>
      </w:pPr>
    </w:p>
    <w:p>
      <w:pPr>
        <w:pStyle w:val="2"/>
        <w:spacing w:line="250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1454150</wp:posOffset>
            </wp:positionH>
            <wp:positionV relativeFrom="page">
              <wp:posOffset>3028315</wp:posOffset>
            </wp:positionV>
            <wp:extent cx="1701800" cy="17018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799" cy="1701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97" w:line="370" w:lineRule="auto"/>
        <w:ind w:left="44" w:right="3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行征收的地区，社会保险经办机构要按月将上述缓缴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信息传递给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税务部门。各省要加强工作调度，按季将政策落实情况分别报送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人力资源社会保障部、国家税务总局，在执行中遇有重大情况和</w:t>
      </w:r>
    </w:p>
    <w:p>
      <w:pPr>
        <w:spacing w:line="222" w:lineRule="auto"/>
        <w:ind w:left="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问题，要及时报告。</w:t>
      </w: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37" w:line="221" w:lineRule="auto"/>
        <w:ind w:left="5359"/>
        <w:rPr>
          <w:rFonts w:ascii="宋体" w:hAnsi="宋体" w:eastAsia="宋体" w:cs="宋体"/>
          <w:sz w:val="42"/>
          <w:szCs w:val="42"/>
        </w:rPr>
      </w:pPr>
      <w:r>
        <w:pict>
          <v:shape id="_x0000_s1026" o:spid="_x0000_s1026" o:spt="202" type="#_x0000_t202" style="position:absolute;left:0pt;margin-left:15.7pt;margin-top:9.3pt;height:23.55pt;width:187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jc w:val="right"/>
                    <w:rPr>
                      <w:rFonts w:ascii="仿宋" w:hAnsi="仿宋" w:eastAsia="仿宋" w:cs="仿宋"/>
                      <w:sz w:val="35"/>
                      <w:szCs w:val="35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spacing w:val="-25"/>
                      <w:sz w:val="35"/>
                      <w:szCs w:val="35"/>
                    </w:rPr>
                    <w:t>人大</w:t>
                  </w:r>
                  <w:r>
                    <w:rPr>
                      <w:rFonts w:ascii="仿宋" w:hAnsi="仿宋" w:eastAsia="仿宋" w:cs="仿宋"/>
                      <w:spacing w:val="-25"/>
                      <w:sz w:val="35"/>
                      <w:szCs w:val="35"/>
                    </w:rPr>
                    <w:t xml:space="preserve">     </w:t>
                  </w:r>
                  <w:r>
                    <w:rPr>
                      <w:rFonts w:ascii="楷体" w:hAnsi="楷体" w:eastAsia="楷体" w:cs="楷体"/>
                      <w:spacing w:val="-25"/>
                      <w:sz w:val="35"/>
                      <w:szCs w:val="35"/>
                    </w:rPr>
                    <w:t>、</w:t>
                  </w:r>
                  <w:r>
                    <w:rPr>
                      <w:rFonts w:ascii="楷体" w:hAnsi="楷体" w:eastAsia="楷体" w:cs="楷体"/>
                      <w:spacing w:val="-35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spacing w:val="-25"/>
                      <w:sz w:val="35"/>
                      <w:szCs w:val="35"/>
                    </w:rPr>
                    <w:t>是</w:t>
                  </w:r>
                  <w:r>
                    <w:rPr>
                      <w:rFonts w:ascii="楷体" w:hAnsi="楷体" w:eastAsia="楷体" w:cs="楷体"/>
                      <w:spacing w:val="83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5"/>
                      <w:sz w:val="35"/>
                      <w:szCs w:val="35"/>
                    </w:rPr>
                    <w:t>，</w:t>
                  </w:r>
                  <w:r>
                    <w:rPr>
                      <w:rFonts w:ascii="仿宋" w:hAnsi="仿宋" w:eastAsia="仿宋" w:cs="仿宋"/>
                      <w:spacing w:val="98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spacing w:val="-25"/>
                      <w:sz w:val="35"/>
                      <w:szCs w:val="35"/>
                    </w:rPr>
                    <w:t>公厅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-782320</wp:posOffset>
            </wp:positionV>
            <wp:extent cx="1695450" cy="16446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1" cy="164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6"/>
          <w:sz w:val="42"/>
          <w:szCs w:val="42"/>
        </w:rPr>
        <w:t>国；下一局</w:t>
      </w:r>
      <w:r>
        <w:rPr>
          <w:rFonts w:ascii="宋体" w:hAnsi="宋体" w:eastAsia="宋体" w:cs="宋体"/>
          <w:spacing w:val="27"/>
          <w:sz w:val="42"/>
          <w:szCs w:val="42"/>
        </w:rPr>
        <w:t xml:space="preserve">  </w:t>
      </w:r>
      <w:r>
        <w:rPr>
          <w:rFonts w:ascii="宋体" w:hAnsi="宋体" w:eastAsia="宋体" w:cs="宋体"/>
          <w:spacing w:val="-6"/>
          <w:sz w:val="42"/>
          <w:szCs w:val="42"/>
        </w:rPr>
        <w:t>厅</w:t>
      </w:r>
    </w:p>
    <w:p>
      <w:pPr>
        <w:spacing w:before="152" w:line="224" w:lineRule="auto"/>
        <w:ind w:left="56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</w:rPr>
        <w:t>-027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  </w:t>
      </w:r>
      <w:r>
        <w:rPr>
          <w:rFonts w:ascii="宋体" w:hAnsi="宋体" w:eastAsia="宋体" w:cs="宋体"/>
          <w:spacing w:val="-12"/>
          <w:sz w:val="35"/>
          <w:szCs w:val="35"/>
        </w:rPr>
        <w:t>-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</w:rPr>
        <w:t>5</w:t>
      </w:r>
      <w:r>
        <w:rPr>
          <w:rFonts w:ascii="宋体" w:hAnsi="宋体" w:eastAsia="宋体" w:cs="宋体"/>
          <w:spacing w:val="7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</w:rPr>
        <w:t>日</w:t>
      </w:r>
    </w:p>
    <w:p>
      <w:pPr>
        <w:pStyle w:val="2"/>
        <w:spacing w:line="307" w:lineRule="auto"/>
      </w:pPr>
    </w:p>
    <w:p>
      <w:pPr>
        <w:pStyle w:val="2"/>
        <w:spacing w:line="308" w:lineRule="auto"/>
      </w:pPr>
    </w:p>
    <w:p>
      <w:pPr>
        <w:spacing w:before="98" w:line="222" w:lineRule="auto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(此件主动公开)</w:t>
      </w:r>
    </w:p>
    <w:p>
      <w:pPr>
        <w:spacing w:before="236" w:line="221" w:lineRule="auto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(联系单位：人力资源社会保障部失业保险司)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87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41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5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2" w:line="221" w:lineRule="auto"/>
              <w:ind w:left="33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6"/>
                <w:szCs w:val="26"/>
              </w:rPr>
              <w:t>人力资源社会保障部办公厅</w:t>
            </w:r>
          </w:p>
        </w:tc>
        <w:tc>
          <w:tcPr>
            <w:tcW w:w="411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7" w:line="222" w:lineRule="auto"/>
              <w:ind w:left="1155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0"/>
                <w:sz w:val="26"/>
                <w:szCs w:val="26"/>
              </w:rPr>
              <w:t>2022年4月26日印发</w:t>
            </w:r>
          </w:p>
        </w:tc>
      </w:tr>
    </w:tbl>
    <w:p>
      <w:pPr>
        <w:pStyle w:val="2"/>
      </w:pPr>
    </w:p>
    <w:sectPr>
      <w:footerReference r:id="rId9" w:type="default"/>
      <w:pgSz w:w="11900" w:h="16840"/>
      <w:pgMar w:top="400" w:right="1619" w:bottom="1770" w:left="1509" w:header="0" w:footer="14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8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6"/>
        <w:sz w:val="30"/>
        <w:szCs w:val="30"/>
      </w:rPr>
      <w:t>—</w:t>
    </w:r>
    <w:r>
      <w:rPr>
        <w:rFonts w:ascii="宋体" w:hAnsi="宋体" w:eastAsia="宋体" w:cs="宋体"/>
        <w:spacing w:val="43"/>
        <w:sz w:val="30"/>
        <w:szCs w:val="30"/>
      </w:rPr>
      <w:t xml:space="preserve"> </w:t>
    </w:r>
    <w:r>
      <w:rPr>
        <w:rFonts w:ascii="宋体" w:hAnsi="宋体" w:eastAsia="宋体" w:cs="宋体"/>
        <w:spacing w:val="-26"/>
        <w:sz w:val="30"/>
        <w:szCs w:val="30"/>
      </w:rPr>
      <w:t>1</w:t>
    </w:r>
    <w:r>
      <w:rPr>
        <w:rFonts w:ascii="宋体" w:hAnsi="宋体" w:eastAsia="宋体" w:cs="宋体"/>
        <w:spacing w:val="94"/>
        <w:sz w:val="30"/>
        <w:szCs w:val="30"/>
      </w:rPr>
      <w:t xml:space="preserve"> </w:t>
    </w:r>
    <w:r>
      <w:rPr>
        <w:rFonts w:ascii="宋体" w:hAnsi="宋体" w:eastAsia="宋体" w:cs="宋体"/>
        <w:spacing w:val="-26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</w:t>
    </w:r>
    <w:r>
      <w:rPr>
        <w:rFonts w:ascii="宋体" w:hAnsi="宋体" w:eastAsia="宋体" w:cs="宋体"/>
        <w:spacing w:val="60"/>
        <w:sz w:val="30"/>
        <w:szCs w:val="30"/>
      </w:rPr>
      <w:t xml:space="preserve"> 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6"/>
        <w:sz w:val="30"/>
        <w:szCs w:val="30"/>
      </w:rPr>
      <w:t>—</w:t>
    </w:r>
    <w:r>
      <w:rPr>
        <w:rFonts w:ascii="宋体" w:hAnsi="宋体" w:eastAsia="宋体" w:cs="宋体"/>
        <w:spacing w:val="34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6"/>
        <w:sz w:val="30"/>
        <w:szCs w:val="30"/>
      </w:rPr>
      <w:t>3</w:t>
    </w:r>
    <w:r>
      <w:rPr>
        <w:rFonts w:ascii="宋体" w:hAnsi="宋体" w:eastAsia="宋体" w:cs="宋体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1"/>
        <w:w w:val="96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7"/>
        <w:w w:val="98"/>
        <w:sz w:val="30"/>
        <w:szCs w:val="30"/>
      </w:rPr>
      <w:t>—</w:t>
    </w:r>
    <w:r>
      <w:rPr>
        <w:rFonts w:ascii="宋体" w:hAnsi="宋体" w:eastAsia="宋体" w:cs="宋体"/>
        <w:spacing w:val="34"/>
        <w:sz w:val="30"/>
        <w:szCs w:val="30"/>
      </w:rPr>
      <w:t xml:space="preserve"> </w:t>
    </w:r>
    <w:r>
      <w:rPr>
        <w:rFonts w:ascii="宋体" w:hAnsi="宋体" w:eastAsia="宋体" w:cs="宋体"/>
        <w:spacing w:val="-17"/>
        <w:w w:val="98"/>
        <w:sz w:val="30"/>
        <w:szCs w:val="30"/>
      </w:rPr>
      <w:t>4</w:t>
    </w:r>
    <w:r>
      <w:rPr>
        <w:rFonts w:ascii="宋体" w:hAnsi="宋体" w:eastAsia="宋体" w:cs="宋体"/>
        <w:spacing w:val="20"/>
        <w:sz w:val="30"/>
        <w:szCs w:val="30"/>
      </w:rPr>
      <w:t xml:space="preserve">  </w:t>
    </w:r>
    <w:r>
      <w:rPr>
        <w:rFonts w:ascii="宋体" w:hAnsi="宋体" w:eastAsia="宋体" w:cs="宋体"/>
        <w:spacing w:val="-17"/>
        <w:w w:val="9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yNDY2OGRlNzIwOTUzZGVkMDE0M2ZlZWEzODIxYmYifQ=="/>
  </w:docVars>
  <w:rsids>
    <w:rsidRoot w:val="00000000"/>
    <w:rsid w:val="50547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2023-11-03T15:03:00Z</dcterms:created>
  <dc:creator>Kingsoft-PDF</dc:creator>
  <cp:lastModifiedBy>w忠l</cp:lastModifiedBy>
  <dcterms:modified xsi:type="dcterms:W3CDTF">2023-11-03T07:03:23Z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2023-11-03T15:03:10Z</vt:filetime>
  </property>
  <property fmtid="{D5CDD505-2E9C-101B-9397-08002B2CF9AE}" pid="4" name="UsrData">
    <vt:lpwstr>65449b297672e8001f4fc7d8wl</vt:lpwstr>
  </property>
  <property fmtid="{D5CDD505-2E9C-101B-9397-08002B2CF9AE}" pid="5" name="KSOProductBuildVer">
    <vt:lpwstr>2052-12.1.0.15712</vt:lpwstr>
  </property>
  <property fmtid="{D5CDD505-2E9C-101B-9397-08002B2CF9AE}" pid="6" name="ICV">
    <vt:lpwstr>A7BD0E6609DE4E02AAE18A579A34C185_12</vt:lpwstr>
  </property>
</Properties>
</file>