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29E" w:rsidRPr="0055029E" w:rsidRDefault="0055029E" w:rsidP="0055029E">
      <w:pPr>
        <w:widowControl/>
        <w:shd w:val="clear" w:color="auto" w:fill="FFFFFF"/>
        <w:rPr>
          <w:rFonts w:ascii="宋体" w:eastAsia="宋体" w:hAnsi="宋体" w:cs="宋体"/>
          <w:color w:val="333333"/>
          <w:kern w:val="0"/>
          <w:sz w:val="24"/>
          <w:szCs w:val="24"/>
        </w:rPr>
      </w:pPr>
      <w:r w:rsidRPr="0055029E">
        <w:rPr>
          <w:rFonts w:ascii="宋体" w:eastAsia="宋体" w:hAnsi="宋体" w:cs="宋体" w:hint="eastAsia"/>
          <w:b/>
          <w:bCs/>
          <w:color w:val="333333"/>
          <w:kern w:val="0"/>
          <w:sz w:val="24"/>
          <w:szCs w:val="24"/>
        </w:rPr>
        <w:t>附件</w:t>
      </w:r>
    </w:p>
    <w:p w:rsidR="0055029E" w:rsidRPr="0055029E" w:rsidRDefault="0055029E" w:rsidP="0055029E">
      <w:pPr>
        <w:widowControl/>
        <w:shd w:val="clear" w:color="auto" w:fill="FFFFFF"/>
        <w:ind w:firstLine="480"/>
        <w:rPr>
          <w:rFonts w:ascii="宋体" w:eastAsia="宋体" w:hAnsi="宋体" w:cs="宋体" w:hint="eastAsia"/>
          <w:color w:val="333333"/>
          <w:kern w:val="0"/>
          <w:sz w:val="24"/>
          <w:szCs w:val="24"/>
        </w:rPr>
      </w:pPr>
    </w:p>
    <w:p w:rsidR="0055029E" w:rsidRPr="0055029E" w:rsidRDefault="0055029E" w:rsidP="0055029E">
      <w:pPr>
        <w:widowControl/>
        <w:shd w:val="clear" w:color="auto" w:fill="FFFFFF"/>
        <w:jc w:val="center"/>
        <w:rPr>
          <w:rFonts w:ascii="宋体" w:eastAsia="宋体" w:hAnsi="宋体" w:cs="宋体" w:hint="eastAsia"/>
          <w:color w:val="333333"/>
          <w:kern w:val="0"/>
          <w:sz w:val="24"/>
          <w:szCs w:val="24"/>
        </w:rPr>
      </w:pPr>
      <w:r w:rsidRPr="0055029E">
        <w:rPr>
          <w:rFonts w:ascii="宋体" w:eastAsia="宋体" w:hAnsi="宋体" w:cs="宋体" w:hint="eastAsia"/>
          <w:b/>
          <w:bCs/>
          <w:color w:val="333333"/>
          <w:kern w:val="0"/>
          <w:sz w:val="36"/>
          <w:szCs w:val="36"/>
        </w:rPr>
        <w:t>国务院决定在深圳市暂时调整实施的</w:t>
      </w:r>
    </w:p>
    <w:p w:rsidR="0055029E" w:rsidRPr="0055029E" w:rsidRDefault="0055029E" w:rsidP="0055029E">
      <w:pPr>
        <w:widowControl/>
        <w:shd w:val="clear" w:color="auto" w:fill="FFFFFF"/>
        <w:jc w:val="center"/>
        <w:rPr>
          <w:rFonts w:ascii="宋体" w:eastAsia="宋体" w:hAnsi="宋体" w:cs="宋体" w:hint="eastAsia"/>
          <w:color w:val="333333"/>
          <w:kern w:val="0"/>
          <w:sz w:val="24"/>
          <w:szCs w:val="24"/>
        </w:rPr>
      </w:pPr>
      <w:r w:rsidRPr="0055029E">
        <w:rPr>
          <w:rFonts w:ascii="宋体" w:eastAsia="宋体" w:hAnsi="宋体" w:cs="宋体" w:hint="eastAsia"/>
          <w:b/>
          <w:bCs/>
          <w:color w:val="333333"/>
          <w:kern w:val="0"/>
          <w:sz w:val="36"/>
          <w:szCs w:val="36"/>
        </w:rPr>
        <w:t>有关行政法规规定目录</w:t>
      </w:r>
    </w:p>
    <w:p w:rsidR="0055029E" w:rsidRPr="0055029E" w:rsidRDefault="0055029E" w:rsidP="0055029E">
      <w:pPr>
        <w:widowControl/>
        <w:shd w:val="clear" w:color="auto" w:fill="FFFFFF"/>
        <w:jc w:val="center"/>
        <w:rPr>
          <w:rFonts w:ascii="宋体" w:eastAsia="宋体" w:hAnsi="宋体" w:cs="宋体" w:hint="eastAsia"/>
          <w:color w:val="333333"/>
          <w:kern w:val="0"/>
          <w:sz w:val="24"/>
          <w:szCs w:val="24"/>
        </w:rPr>
      </w:pPr>
    </w:p>
    <w:tbl>
      <w:tblPr>
        <w:tblW w:w="9071" w:type="dxa"/>
        <w:jc w:val="center"/>
        <w:tblCellMar>
          <w:left w:w="0" w:type="dxa"/>
          <w:right w:w="0" w:type="dxa"/>
        </w:tblCellMar>
        <w:tblLook w:val="04A0"/>
      </w:tblPr>
      <w:tblGrid>
        <w:gridCol w:w="681"/>
        <w:gridCol w:w="6343"/>
        <w:gridCol w:w="2047"/>
      </w:tblGrid>
      <w:tr w:rsidR="0055029E" w:rsidRPr="0055029E" w:rsidTr="0055029E">
        <w:trPr>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b/>
                <w:bCs/>
                <w:kern w:val="0"/>
                <w:sz w:val="20"/>
                <w:szCs w:val="20"/>
              </w:rPr>
              <w:t>序号</w:t>
            </w:r>
          </w:p>
        </w:tc>
        <w:tc>
          <w:tcPr>
            <w:tcW w:w="6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b/>
                <w:bCs/>
                <w:kern w:val="0"/>
                <w:sz w:val="20"/>
                <w:szCs w:val="20"/>
              </w:rPr>
              <w:t>有关行政法规规定</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b/>
                <w:bCs/>
                <w:kern w:val="0"/>
                <w:sz w:val="20"/>
                <w:szCs w:val="20"/>
              </w:rPr>
              <w:t>调整实施情况</w:t>
            </w:r>
          </w:p>
        </w:tc>
      </w:tr>
      <w:tr w:rsidR="0055029E" w:rsidRPr="0055029E" w:rsidTr="0055029E">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kern w:val="0"/>
                <w:sz w:val="20"/>
                <w:szCs w:val="20"/>
              </w:rPr>
              <w:t>1</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kern w:val="0"/>
                <w:sz w:val="20"/>
                <w:szCs w:val="20"/>
              </w:rPr>
              <w:t>《中华人民共和国海关事务担保条例》</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第五条第一款第二项　当事人申请办理下列特定海关业务的，按照海关规定提供担保：</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（二）货物、物品暂时进出境的；</w:t>
            </w:r>
          </w:p>
        </w:tc>
        <w:tc>
          <w:tcPr>
            <w:tcW w:w="20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hint="eastAsia"/>
                <w:kern w:val="0"/>
                <w:sz w:val="20"/>
                <w:szCs w:val="20"/>
              </w:rPr>
              <w:t>暂时调整适用《中华人民共和国海关事务担保条例》第五条第一款第二项和《中华人民共和国进出口关税条例》第四十二条的有关规定，对深圳市内游艇自由行实行免担保政策。</w:t>
            </w:r>
          </w:p>
        </w:tc>
      </w:tr>
      <w:tr w:rsidR="0055029E" w:rsidRPr="0055029E" w:rsidTr="0055029E">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kern w:val="0"/>
                <w:sz w:val="20"/>
                <w:szCs w:val="20"/>
              </w:rPr>
              <w:t>2</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kern w:val="0"/>
                <w:sz w:val="20"/>
                <w:szCs w:val="20"/>
              </w:rPr>
              <w:t>《中华人民共和国进出口关税条例》</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第四十二条　暂时进境或者暂时出境的下列货物，在进境或者出境时纳税义务人向海关缴纳相当于应纳税款的保证金或者提供其他担保的，可以暂不缴纳关税，并应当自进境或者出境之日起6个月内复运出境或者复运进境；需要延长复运出境或者复运进境期限的，纳税义务人应当根据海关总署的规定向海关办理延期手续：</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（一）在展览会、交易会、会议及类似活动中展示或者使用的货物；</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（二）文化、体育交流活动中使用的表演、比赛用品；</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（三）进行新闻报道或者摄制电影、电视节目使用的仪器、设备及用品；</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（四）开展科研、教学、医疗活动使用的仪器、设备及用品；</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（五）在本款第（一）项至第（四）项所列活动中使用的交通工具及特种车辆；</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（六）货样；</w:t>
            </w:r>
            <w:r w:rsidRPr="0055029E">
              <w:rPr>
                <w:rFonts w:ascii="宋体" w:eastAsia="宋体" w:hAnsi="宋体" w:cs="宋体"/>
                <w:kern w:val="0"/>
                <w:sz w:val="20"/>
                <w:szCs w:val="20"/>
              </w:rPr>
              <w:br/>
              <w:t xml:space="preserve">　　（七）供安装、调试、检测设备时使用的仪器、工具；</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（八）盛装货物的容器；</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（九）其他用于非商业目的的货物。</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第一款所列暂时进境货物在规定的期限内未复运出境的，或者暂时出境货物在规定的期限内未复运进境的，海关应当依法征收关税。</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第一款所列可以暂时免征关税范围以外的其他暂时进境货物，应当按照该货物的完税价格和其在境内滞留时间与折旧时间的比例计算征收进口关税。具体办法由海关总署规定。</w:t>
            </w:r>
          </w:p>
        </w:tc>
        <w:tc>
          <w:tcPr>
            <w:tcW w:w="0" w:type="auto"/>
            <w:vMerge/>
            <w:tcBorders>
              <w:top w:val="nil"/>
              <w:left w:val="single" w:sz="8" w:space="0" w:color="auto"/>
              <w:bottom w:val="single" w:sz="8" w:space="0" w:color="auto"/>
              <w:right w:val="single" w:sz="8" w:space="0" w:color="auto"/>
            </w:tcBorders>
            <w:vAlign w:val="center"/>
            <w:hideMark/>
          </w:tcPr>
          <w:p w:rsidR="0055029E" w:rsidRPr="0055029E" w:rsidRDefault="0055029E" w:rsidP="0055029E">
            <w:pPr>
              <w:widowControl/>
              <w:jc w:val="left"/>
              <w:rPr>
                <w:rFonts w:ascii="宋体" w:eastAsia="宋体" w:hAnsi="宋体" w:cs="宋体"/>
                <w:kern w:val="0"/>
                <w:sz w:val="24"/>
                <w:szCs w:val="24"/>
              </w:rPr>
            </w:pPr>
          </w:p>
        </w:tc>
      </w:tr>
      <w:tr w:rsidR="0055029E" w:rsidRPr="0055029E" w:rsidTr="0055029E">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kern w:val="0"/>
                <w:sz w:val="20"/>
                <w:szCs w:val="20"/>
              </w:rPr>
              <w:t>3</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kern w:val="0"/>
                <w:sz w:val="20"/>
                <w:szCs w:val="20"/>
              </w:rPr>
              <w:t>《中华人民共和国船舶登记条例》</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第二条第一款第二项　下列船舶应当依照本条例规定进行登记：</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（二）依据中华人民共和国法律设立的主要营业所在中华人民共和国境内的企业法人的船舶。但是，在该法人的注册资本中有外商出资的，中方投资人的出资额不得低于50%。</w:t>
            </w:r>
          </w:p>
        </w:tc>
        <w:tc>
          <w:tcPr>
            <w:tcW w:w="20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hint="eastAsia"/>
                <w:kern w:val="0"/>
                <w:sz w:val="20"/>
                <w:szCs w:val="20"/>
              </w:rPr>
              <w:t>暂时调整适用《中华人民共和国船舶登记条例》第二条第一款第二项的规定，允许在深圳依法设立的企业，对其所有的船舶在深圳进行国际船舶登记，企业的外资股比不受限制。</w:t>
            </w:r>
          </w:p>
        </w:tc>
      </w:tr>
      <w:tr w:rsidR="0055029E" w:rsidRPr="0055029E" w:rsidTr="0055029E">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jc w:val="center"/>
              <w:rPr>
                <w:rFonts w:ascii="宋体" w:eastAsia="宋体" w:hAnsi="宋体" w:cs="宋体"/>
                <w:kern w:val="0"/>
                <w:sz w:val="24"/>
                <w:szCs w:val="24"/>
              </w:rPr>
            </w:pPr>
            <w:r w:rsidRPr="0055029E">
              <w:rPr>
                <w:rFonts w:ascii="宋体" w:eastAsia="宋体" w:hAnsi="宋体" w:cs="宋体" w:hint="eastAsia"/>
                <w:kern w:val="0"/>
                <w:sz w:val="20"/>
                <w:szCs w:val="20"/>
              </w:rPr>
              <w:lastRenderedPageBreak/>
              <w:t>4</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kern w:val="0"/>
                <w:sz w:val="20"/>
                <w:szCs w:val="20"/>
              </w:rPr>
              <w:t>《地质灾害防治条例》</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第二十二条第一款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（一）有独立的法人资格；</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（二）有一定数量的工程地质、环境地质和岩土工程等相应专业的技术人员；</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（三）有相应的技术装备。</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第三十六条　地质灾害治理工程的确定，应当与地质灾害形成的原因、规模以及对人民生命和财产安全的危害程度相适应。</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（一）有独立的法人资格；</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（二）有一定数量的水文地质、环境地质、工程地质等相应专业的技术人员；</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（三）有相应的技术装备；</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（四）有完善的工程质量管理制度。</w:t>
            </w:r>
            <w:r w:rsidRPr="0055029E">
              <w:rPr>
                <w:rFonts w:ascii="宋体" w:eastAsia="宋体" w:hAnsi="宋体" w:cs="宋体"/>
                <w:kern w:val="0"/>
                <w:sz w:val="24"/>
                <w:szCs w:val="24"/>
              </w:rPr>
              <w:br/>
            </w:r>
            <w:r w:rsidRPr="0055029E">
              <w:rPr>
                <w:rFonts w:ascii="宋体" w:eastAsia="宋体" w:hAnsi="宋体" w:cs="宋体"/>
                <w:kern w:val="0"/>
                <w:sz w:val="20"/>
                <w:szCs w:val="20"/>
              </w:rPr>
              <w:t xml:space="preserve">　　地质灾害治理工程的勘查、设计、施工和监理应当符合国家有关标准和技术规范。</w:t>
            </w:r>
          </w:p>
        </w:tc>
        <w:tc>
          <w:tcPr>
            <w:tcW w:w="20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029E" w:rsidRPr="0055029E" w:rsidRDefault="0055029E" w:rsidP="0055029E">
            <w:pPr>
              <w:widowControl/>
              <w:rPr>
                <w:rFonts w:ascii="宋体" w:eastAsia="宋体" w:hAnsi="宋体" w:cs="宋体"/>
                <w:kern w:val="0"/>
                <w:sz w:val="24"/>
                <w:szCs w:val="24"/>
              </w:rPr>
            </w:pPr>
            <w:r w:rsidRPr="0055029E">
              <w:rPr>
                <w:rFonts w:ascii="宋体" w:eastAsia="宋体" w:hAnsi="宋体" w:cs="宋体" w:hint="eastAsia"/>
                <w:kern w:val="0"/>
                <w:sz w:val="20"/>
                <w:szCs w:val="20"/>
              </w:rPr>
              <w:t>暂时调整适用《地质灾害防治条例》第二十二条第一款和第三十六条的规定，对单位注册所在地在深圳的从事地质灾害危险性评估和承担专项地质灾害治理工程勘查、设计、施工和监理的单位甲、乙级资质，由深圳市规划和自然资源部门负责审批与管理。</w:t>
            </w:r>
          </w:p>
        </w:tc>
      </w:tr>
    </w:tbl>
    <w:p w:rsidR="00EC175B" w:rsidRPr="0055029E" w:rsidRDefault="0055029E"/>
    <w:sectPr w:rsidR="00EC175B" w:rsidRPr="0055029E" w:rsidSect="000961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5029E"/>
    <w:rsid w:val="000961F5"/>
    <w:rsid w:val="0055029E"/>
    <w:rsid w:val="00B1008F"/>
    <w:rsid w:val="00E415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02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03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Company>神州网信技术有限公司</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2022-04-26T10:31:00Z</dcterms:created>
  <dcterms:modified xsi:type="dcterms:W3CDTF">2022-04-26T10:32:00Z</dcterms:modified>
</cp:coreProperties>
</file>