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93" w:rsidRDefault="002E7693">
      <w:pPr>
        <w:rPr>
          <w:rFonts w:hint="eastAsia"/>
        </w:rPr>
      </w:pPr>
    </w:p>
    <w:p w:rsidR="002E7693" w:rsidRDefault="002E7693">
      <w:pPr>
        <w:rPr>
          <w:rFonts w:hint="eastAsia"/>
        </w:rPr>
      </w:pPr>
      <w:r w:rsidRPr="002E7693">
        <w:rPr>
          <w:rFonts w:hint="eastAsia"/>
        </w:rPr>
        <w:t>附件：</w:t>
      </w:r>
    </w:p>
    <w:p w:rsidR="002E7693" w:rsidRDefault="002E7693">
      <w:pPr>
        <w:rPr>
          <w:rFonts w:hint="eastAsia"/>
        </w:rPr>
      </w:pPr>
    </w:p>
    <w:p w:rsidR="00C343DF" w:rsidRDefault="002E7693" w:rsidP="002E7693">
      <w:pPr>
        <w:jc w:val="center"/>
        <w:rPr>
          <w:rFonts w:hint="eastAsia"/>
        </w:rPr>
      </w:pPr>
      <w:r w:rsidRPr="002E7693">
        <w:rPr>
          <w:rFonts w:hint="eastAsia"/>
        </w:rPr>
        <w:t>财政部取消的行政审批项目目录</w:t>
      </w:r>
    </w:p>
    <w:p w:rsidR="00741FCC" w:rsidRDefault="00741FCC">
      <w:pPr>
        <w:rPr>
          <w:rFonts w:hint="eastAsia"/>
        </w:rPr>
      </w:pPr>
    </w:p>
    <w:tbl>
      <w:tblPr>
        <w:tblStyle w:val="a3"/>
        <w:tblW w:w="0" w:type="auto"/>
        <w:jc w:val="center"/>
        <w:tblLook w:val="04A0"/>
      </w:tblPr>
      <w:tblGrid>
        <w:gridCol w:w="817"/>
        <w:gridCol w:w="3260"/>
        <w:gridCol w:w="1134"/>
        <w:gridCol w:w="2410"/>
        <w:gridCol w:w="901"/>
      </w:tblGrid>
      <w:tr w:rsidR="00741FCC" w:rsidRPr="00377817" w:rsidTr="00377817">
        <w:trPr>
          <w:jc w:val="center"/>
        </w:trPr>
        <w:tc>
          <w:tcPr>
            <w:tcW w:w="817" w:type="dxa"/>
            <w:vAlign w:val="center"/>
          </w:tcPr>
          <w:p w:rsidR="00741FCC" w:rsidRPr="00377817" w:rsidRDefault="00741FCC" w:rsidP="006B7486">
            <w:pPr>
              <w:jc w:val="center"/>
              <w:rPr>
                <w:szCs w:val="21"/>
              </w:rPr>
            </w:pPr>
            <w:r w:rsidRPr="00377817">
              <w:rPr>
                <w:rFonts w:ascii="Arial" w:hAnsi="Arial" w:cs="Arial"/>
                <w:szCs w:val="21"/>
              </w:rPr>
              <w:t>序号</w:t>
            </w:r>
          </w:p>
        </w:tc>
        <w:tc>
          <w:tcPr>
            <w:tcW w:w="3260" w:type="dxa"/>
            <w:vAlign w:val="center"/>
          </w:tcPr>
          <w:p w:rsidR="00741FCC" w:rsidRPr="00377817" w:rsidRDefault="00741FCC" w:rsidP="006B7486">
            <w:pPr>
              <w:jc w:val="center"/>
              <w:rPr>
                <w:szCs w:val="21"/>
              </w:rPr>
            </w:pPr>
            <w:r w:rsidRPr="00377817">
              <w:rPr>
                <w:rFonts w:ascii="Arial" w:hAnsi="Arial" w:cs="Arial"/>
                <w:szCs w:val="21"/>
              </w:rPr>
              <w:t>项目名称</w:t>
            </w:r>
          </w:p>
        </w:tc>
        <w:tc>
          <w:tcPr>
            <w:tcW w:w="1134" w:type="dxa"/>
            <w:vAlign w:val="center"/>
          </w:tcPr>
          <w:p w:rsidR="00377817" w:rsidRDefault="00741FCC" w:rsidP="006B7486">
            <w:pPr>
              <w:jc w:val="center"/>
              <w:rPr>
                <w:rFonts w:ascii="Arial" w:hAnsi="Arial" w:cs="Arial" w:hint="eastAsia"/>
                <w:szCs w:val="21"/>
              </w:rPr>
            </w:pPr>
            <w:r w:rsidRPr="00377817">
              <w:rPr>
                <w:rFonts w:ascii="Arial" w:hAnsi="Arial" w:cs="Arial"/>
                <w:szCs w:val="21"/>
              </w:rPr>
              <w:t>其他共同</w:t>
            </w:r>
          </w:p>
          <w:p w:rsidR="00741FCC" w:rsidRPr="00377817" w:rsidRDefault="00741FCC" w:rsidP="006B7486">
            <w:pPr>
              <w:jc w:val="center"/>
              <w:rPr>
                <w:szCs w:val="21"/>
              </w:rPr>
            </w:pPr>
            <w:r w:rsidRPr="00377817">
              <w:rPr>
                <w:rFonts w:ascii="Arial" w:hAnsi="Arial" w:cs="Arial"/>
                <w:szCs w:val="21"/>
              </w:rPr>
              <w:t>审批部门</w:t>
            </w:r>
          </w:p>
        </w:tc>
        <w:tc>
          <w:tcPr>
            <w:tcW w:w="2410" w:type="dxa"/>
            <w:vAlign w:val="center"/>
          </w:tcPr>
          <w:p w:rsidR="00741FCC" w:rsidRPr="00377817" w:rsidRDefault="00105627" w:rsidP="006B7486">
            <w:pPr>
              <w:jc w:val="center"/>
              <w:rPr>
                <w:szCs w:val="21"/>
              </w:rPr>
            </w:pPr>
            <w:r w:rsidRPr="00377817">
              <w:rPr>
                <w:rFonts w:ascii="Arial" w:hAnsi="Arial" w:cs="Arial"/>
                <w:szCs w:val="21"/>
              </w:rPr>
              <w:t>设定依据</w:t>
            </w:r>
          </w:p>
        </w:tc>
        <w:tc>
          <w:tcPr>
            <w:tcW w:w="901" w:type="dxa"/>
            <w:vAlign w:val="center"/>
          </w:tcPr>
          <w:p w:rsidR="00377817" w:rsidRDefault="00105627" w:rsidP="006B7486">
            <w:pPr>
              <w:jc w:val="center"/>
              <w:rPr>
                <w:rFonts w:ascii="Arial" w:hAnsi="Arial" w:cs="Arial" w:hint="eastAsia"/>
                <w:szCs w:val="21"/>
              </w:rPr>
            </w:pPr>
            <w:r w:rsidRPr="00377817">
              <w:rPr>
                <w:rFonts w:ascii="Arial" w:hAnsi="Arial" w:cs="Arial"/>
                <w:szCs w:val="21"/>
              </w:rPr>
              <w:t>处理</w:t>
            </w:r>
          </w:p>
          <w:p w:rsidR="00741FCC" w:rsidRPr="00377817" w:rsidRDefault="00105627" w:rsidP="006B7486">
            <w:pPr>
              <w:jc w:val="center"/>
              <w:rPr>
                <w:szCs w:val="21"/>
              </w:rPr>
            </w:pPr>
            <w:r w:rsidRPr="00377817">
              <w:rPr>
                <w:rFonts w:ascii="Arial" w:hAnsi="Arial" w:cs="Arial"/>
                <w:szCs w:val="21"/>
              </w:rPr>
              <w:t>决定</w:t>
            </w:r>
          </w:p>
        </w:tc>
      </w:tr>
      <w:tr w:rsidR="00741FCC" w:rsidRPr="00377817" w:rsidTr="00377817">
        <w:trPr>
          <w:jc w:val="center"/>
        </w:trPr>
        <w:tc>
          <w:tcPr>
            <w:tcW w:w="817" w:type="dxa"/>
            <w:vAlign w:val="center"/>
          </w:tcPr>
          <w:p w:rsidR="00741FCC" w:rsidRPr="00377817" w:rsidRDefault="0062179B" w:rsidP="006B7486">
            <w:pPr>
              <w:jc w:val="center"/>
              <w:rPr>
                <w:szCs w:val="21"/>
              </w:rPr>
            </w:pPr>
            <w:r w:rsidRPr="00377817">
              <w:rPr>
                <w:rFonts w:hint="eastAsia"/>
                <w:szCs w:val="21"/>
              </w:rPr>
              <w:t>1</w:t>
            </w:r>
          </w:p>
        </w:tc>
        <w:tc>
          <w:tcPr>
            <w:tcW w:w="3260" w:type="dxa"/>
            <w:vAlign w:val="center"/>
          </w:tcPr>
          <w:p w:rsidR="00741FCC" w:rsidRPr="00377817" w:rsidRDefault="0062179B" w:rsidP="006B7486">
            <w:pPr>
              <w:jc w:val="center"/>
              <w:rPr>
                <w:szCs w:val="21"/>
              </w:rPr>
            </w:pPr>
            <w:r w:rsidRPr="00377817">
              <w:rPr>
                <w:rFonts w:ascii="Arial" w:hAnsi="Arial" w:cs="Arial"/>
                <w:szCs w:val="21"/>
              </w:rPr>
              <w:t>对财政有影响的临时特案减免税审批</w:t>
            </w:r>
          </w:p>
        </w:tc>
        <w:tc>
          <w:tcPr>
            <w:tcW w:w="1134" w:type="dxa"/>
            <w:vAlign w:val="center"/>
          </w:tcPr>
          <w:p w:rsidR="00741FCC" w:rsidRPr="00377817" w:rsidRDefault="0062179B" w:rsidP="006B7486">
            <w:pPr>
              <w:jc w:val="center"/>
              <w:rPr>
                <w:szCs w:val="21"/>
              </w:rPr>
            </w:pPr>
            <w:r w:rsidRPr="00377817">
              <w:rPr>
                <w:rFonts w:ascii="Arial" w:hAnsi="Arial" w:cs="Arial"/>
                <w:szCs w:val="21"/>
              </w:rPr>
              <w:t>税务总局</w:t>
            </w:r>
          </w:p>
        </w:tc>
        <w:tc>
          <w:tcPr>
            <w:tcW w:w="2410" w:type="dxa"/>
            <w:vAlign w:val="center"/>
          </w:tcPr>
          <w:p w:rsidR="00741FCC" w:rsidRPr="00377817" w:rsidRDefault="0062179B" w:rsidP="006B7486">
            <w:pPr>
              <w:jc w:val="center"/>
              <w:rPr>
                <w:szCs w:val="21"/>
              </w:rPr>
            </w:pPr>
            <w:r w:rsidRPr="00377817">
              <w:rPr>
                <w:rFonts w:ascii="Arial" w:hAnsi="Arial" w:cs="Arial"/>
                <w:szCs w:val="21"/>
              </w:rPr>
              <w:t>《国务院办公厅关于保留部分非行政许可审批项目的通知》（国办发〔</w:t>
            </w:r>
            <w:r w:rsidRPr="00377817">
              <w:rPr>
                <w:rFonts w:ascii="Arial" w:hAnsi="Arial" w:cs="Arial"/>
                <w:szCs w:val="21"/>
              </w:rPr>
              <w:t>2004</w:t>
            </w:r>
            <w:r w:rsidRPr="00377817">
              <w:rPr>
                <w:rFonts w:ascii="Arial" w:hAnsi="Arial" w:cs="Arial"/>
                <w:szCs w:val="21"/>
              </w:rPr>
              <w:t>〕</w:t>
            </w:r>
            <w:r w:rsidRPr="00377817">
              <w:rPr>
                <w:rFonts w:ascii="Arial" w:hAnsi="Arial" w:cs="Arial"/>
                <w:szCs w:val="21"/>
              </w:rPr>
              <w:t>62</w:t>
            </w:r>
            <w:r w:rsidRPr="00377817">
              <w:rPr>
                <w:rFonts w:ascii="Arial" w:hAnsi="Arial" w:cs="Arial"/>
                <w:szCs w:val="21"/>
              </w:rPr>
              <w:t>号）</w:t>
            </w:r>
          </w:p>
        </w:tc>
        <w:tc>
          <w:tcPr>
            <w:tcW w:w="901" w:type="dxa"/>
            <w:vAlign w:val="center"/>
          </w:tcPr>
          <w:p w:rsidR="00741FCC" w:rsidRPr="00377817" w:rsidRDefault="0062179B" w:rsidP="006B7486">
            <w:pPr>
              <w:jc w:val="center"/>
              <w:rPr>
                <w:rFonts w:hint="eastAsia"/>
                <w:szCs w:val="21"/>
              </w:rPr>
            </w:pPr>
            <w:r w:rsidRPr="00377817">
              <w:rPr>
                <w:rFonts w:hint="eastAsia"/>
                <w:szCs w:val="21"/>
              </w:rPr>
              <w:t>取消</w:t>
            </w:r>
          </w:p>
        </w:tc>
      </w:tr>
      <w:tr w:rsidR="00741FCC" w:rsidRPr="00377817" w:rsidTr="00377817">
        <w:trPr>
          <w:jc w:val="center"/>
        </w:trPr>
        <w:tc>
          <w:tcPr>
            <w:tcW w:w="817" w:type="dxa"/>
            <w:vAlign w:val="center"/>
          </w:tcPr>
          <w:p w:rsidR="00741FCC" w:rsidRPr="00377817" w:rsidRDefault="0062179B" w:rsidP="006B7486">
            <w:pPr>
              <w:jc w:val="center"/>
              <w:rPr>
                <w:szCs w:val="21"/>
              </w:rPr>
            </w:pPr>
            <w:r w:rsidRPr="00377817">
              <w:rPr>
                <w:rFonts w:hint="eastAsia"/>
                <w:szCs w:val="21"/>
              </w:rPr>
              <w:t>2</w:t>
            </w:r>
          </w:p>
        </w:tc>
        <w:tc>
          <w:tcPr>
            <w:tcW w:w="3260" w:type="dxa"/>
            <w:vAlign w:val="center"/>
          </w:tcPr>
          <w:p w:rsidR="00741FCC" w:rsidRPr="00377817" w:rsidRDefault="00826A54" w:rsidP="006B7486">
            <w:pPr>
              <w:jc w:val="center"/>
              <w:rPr>
                <w:szCs w:val="21"/>
              </w:rPr>
            </w:pPr>
            <w:r w:rsidRPr="00377817">
              <w:rPr>
                <w:rFonts w:ascii="Arial" w:hAnsi="Arial" w:cs="Arial"/>
                <w:szCs w:val="21"/>
              </w:rPr>
              <w:t>中央财政农业综合开发有偿资金呆账核销和延期还款审批</w:t>
            </w:r>
          </w:p>
        </w:tc>
        <w:tc>
          <w:tcPr>
            <w:tcW w:w="1134" w:type="dxa"/>
            <w:vAlign w:val="center"/>
          </w:tcPr>
          <w:p w:rsidR="00741FCC" w:rsidRPr="00377817" w:rsidRDefault="00826A54" w:rsidP="006B7486">
            <w:pPr>
              <w:jc w:val="center"/>
              <w:rPr>
                <w:szCs w:val="21"/>
              </w:rPr>
            </w:pPr>
            <w:r w:rsidRPr="00377817">
              <w:rPr>
                <w:rFonts w:hint="eastAsia"/>
                <w:szCs w:val="21"/>
              </w:rPr>
              <w:t>无</w:t>
            </w:r>
          </w:p>
        </w:tc>
        <w:tc>
          <w:tcPr>
            <w:tcW w:w="2410" w:type="dxa"/>
            <w:vAlign w:val="center"/>
          </w:tcPr>
          <w:p w:rsidR="00741FCC" w:rsidRPr="00377817" w:rsidRDefault="00826A54" w:rsidP="006B7486">
            <w:pPr>
              <w:jc w:val="center"/>
              <w:rPr>
                <w:szCs w:val="21"/>
              </w:rPr>
            </w:pPr>
            <w:r w:rsidRPr="00377817">
              <w:rPr>
                <w:rFonts w:ascii="Arial" w:hAnsi="Arial" w:cs="Arial"/>
                <w:szCs w:val="21"/>
              </w:rPr>
              <w:t>《农业综合开发财政有偿资金管理办法》（财发〔</w:t>
            </w:r>
            <w:r w:rsidRPr="00377817">
              <w:rPr>
                <w:rFonts w:ascii="Arial" w:hAnsi="Arial" w:cs="Arial"/>
                <w:szCs w:val="21"/>
              </w:rPr>
              <w:t>2008</w:t>
            </w:r>
            <w:r w:rsidRPr="00377817">
              <w:rPr>
                <w:rFonts w:ascii="Arial" w:hAnsi="Arial" w:cs="Arial"/>
                <w:szCs w:val="21"/>
              </w:rPr>
              <w:t>〕</w:t>
            </w:r>
            <w:r w:rsidRPr="00377817">
              <w:rPr>
                <w:rFonts w:ascii="Arial" w:hAnsi="Arial" w:cs="Arial"/>
                <w:szCs w:val="21"/>
              </w:rPr>
              <w:t>4</w:t>
            </w:r>
            <w:r w:rsidRPr="00377817">
              <w:rPr>
                <w:rFonts w:ascii="Arial" w:hAnsi="Arial" w:cs="Arial"/>
                <w:szCs w:val="21"/>
              </w:rPr>
              <w:t>号）</w:t>
            </w:r>
            <w:r w:rsidRPr="00377817">
              <w:rPr>
                <w:rFonts w:ascii="Arial" w:hAnsi="Arial" w:cs="Arial"/>
                <w:szCs w:val="21"/>
              </w:rPr>
              <w:br/>
            </w:r>
            <w:r w:rsidRPr="00377817">
              <w:rPr>
                <w:rFonts w:ascii="Arial" w:hAnsi="Arial" w:cs="Arial"/>
                <w:szCs w:val="21"/>
              </w:rPr>
              <w:t>《农业综合开发财政有偿资金呆账核销和延期还款办法》（财发〔</w:t>
            </w:r>
            <w:r w:rsidRPr="00377817">
              <w:rPr>
                <w:rFonts w:ascii="Arial" w:hAnsi="Arial" w:cs="Arial"/>
                <w:szCs w:val="21"/>
              </w:rPr>
              <w:t>2008</w:t>
            </w:r>
            <w:r w:rsidRPr="00377817">
              <w:rPr>
                <w:rFonts w:ascii="Arial" w:hAnsi="Arial" w:cs="Arial"/>
                <w:szCs w:val="21"/>
              </w:rPr>
              <w:t>〕</w:t>
            </w:r>
            <w:r w:rsidRPr="00377817">
              <w:rPr>
                <w:rFonts w:ascii="Arial" w:hAnsi="Arial" w:cs="Arial"/>
                <w:szCs w:val="21"/>
              </w:rPr>
              <w:t>61</w:t>
            </w:r>
            <w:r w:rsidRPr="00377817">
              <w:rPr>
                <w:rFonts w:ascii="Arial" w:hAnsi="Arial" w:cs="Arial"/>
                <w:szCs w:val="21"/>
              </w:rPr>
              <w:t>号）</w:t>
            </w:r>
          </w:p>
        </w:tc>
        <w:tc>
          <w:tcPr>
            <w:tcW w:w="901" w:type="dxa"/>
            <w:vAlign w:val="center"/>
          </w:tcPr>
          <w:p w:rsidR="00741FCC" w:rsidRPr="00377817" w:rsidRDefault="0062179B" w:rsidP="006B7486">
            <w:pPr>
              <w:jc w:val="center"/>
              <w:rPr>
                <w:szCs w:val="21"/>
              </w:rPr>
            </w:pPr>
            <w:r w:rsidRPr="00377817">
              <w:rPr>
                <w:rFonts w:hint="eastAsia"/>
                <w:szCs w:val="21"/>
              </w:rPr>
              <w:t>取消</w:t>
            </w:r>
          </w:p>
        </w:tc>
      </w:tr>
      <w:tr w:rsidR="00741FCC" w:rsidRPr="00377817" w:rsidTr="00377817">
        <w:trPr>
          <w:jc w:val="center"/>
        </w:trPr>
        <w:tc>
          <w:tcPr>
            <w:tcW w:w="817" w:type="dxa"/>
            <w:vAlign w:val="center"/>
          </w:tcPr>
          <w:p w:rsidR="00741FCC" w:rsidRPr="00377817" w:rsidRDefault="0062179B" w:rsidP="006B7486">
            <w:pPr>
              <w:jc w:val="center"/>
              <w:rPr>
                <w:szCs w:val="21"/>
              </w:rPr>
            </w:pPr>
            <w:r w:rsidRPr="00377817">
              <w:rPr>
                <w:rFonts w:hint="eastAsia"/>
                <w:szCs w:val="21"/>
              </w:rPr>
              <w:t>3</w:t>
            </w:r>
          </w:p>
        </w:tc>
        <w:tc>
          <w:tcPr>
            <w:tcW w:w="3260" w:type="dxa"/>
            <w:vAlign w:val="center"/>
          </w:tcPr>
          <w:p w:rsidR="00741FCC" w:rsidRPr="00377817" w:rsidRDefault="00826A54" w:rsidP="006B7486">
            <w:pPr>
              <w:jc w:val="center"/>
              <w:rPr>
                <w:szCs w:val="21"/>
              </w:rPr>
            </w:pPr>
            <w:r w:rsidRPr="00377817">
              <w:rPr>
                <w:rFonts w:ascii="Arial" w:hAnsi="Arial" w:cs="Arial"/>
                <w:szCs w:val="21"/>
              </w:rPr>
              <w:t>豁免国有创业投资机构和国有创业投资引导基金国有股转</w:t>
            </w:r>
            <w:proofErr w:type="gramStart"/>
            <w:r w:rsidRPr="00377817">
              <w:rPr>
                <w:rFonts w:ascii="Arial" w:hAnsi="Arial" w:cs="Arial"/>
                <w:szCs w:val="21"/>
              </w:rPr>
              <w:t>持义务</w:t>
            </w:r>
            <w:proofErr w:type="gramEnd"/>
            <w:r w:rsidRPr="00377817">
              <w:rPr>
                <w:rFonts w:ascii="Arial" w:hAnsi="Arial" w:cs="Arial"/>
                <w:szCs w:val="21"/>
              </w:rPr>
              <w:t>审核</w:t>
            </w:r>
          </w:p>
        </w:tc>
        <w:tc>
          <w:tcPr>
            <w:tcW w:w="1134" w:type="dxa"/>
            <w:vAlign w:val="center"/>
          </w:tcPr>
          <w:p w:rsidR="00741FCC" w:rsidRPr="00377817" w:rsidRDefault="00826A54" w:rsidP="006B7486">
            <w:pPr>
              <w:jc w:val="center"/>
              <w:rPr>
                <w:szCs w:val="21"/>
              </w:rPr>
            </w:pPr>
            <w:r w:rsidRPr="00377817">
              <w:rPr>
                <w:rFonts w:hint="eastAsia"/>
                <w:szCs w:val="21"/>
              </w:rPr>
              <w:t>无</w:t>
            </w:r>
          </w:p>
        </w:tc>
        <w:tc>
          <w:tcPr>
            <w:tcW w:w="2410" w:type="dxa"/>
            <w:vAlign w:val="center"/>
          </w:tcPr>
          <w:p w:rsidR="00741FCC" w:rsidRPr="00377817" w:rsidRDefault="00826A54" w:rsidP="006B7486">
            <w:pPr>
              <w:jc w:val="center"/>
              <w:rPr>
                <w:szCs w:val="21"/>
              </w:rPr>
            </w:pPr>
            <w:r w:rsidRPr="00377817">
              <w:rPr>
                <w:rFonts w:ascii="Arial" w:hAnsi="Arial" w:cs="Arial"/>
                <w:szCs w:val="21"/>
              </w:rPr>
              <w:t>《财政部</w:t>
            </w:r>
            <w:r w:rsidRPr="00377817">
              <w:rPr>
                <w:rFonts w:ascii="Arial" w:hAnsi="Arial" w:cs="Arial"/>
                <w:szCs w:val="21"/>
              </w:rPr>
              <w:t xml:space="preserve"> </w:t>
            </w:r>
            <w:r w:rsidRPr="00377817">
              <w:rPr>
                <w:rFonts w:ascii="Arial" w:hAnsi="Arial" w:cs="Arial"/>
                <w:szCs w:val="21"/>
              </w:rPr>
              <w:t>国资委</w:t>
            </w:r>
            <w:r w:rsidRPr="00377817">
              <w:rPr>
                <w:rFonts w:ascii="Arial" w:hAnsi="Arial" w:cs="Arial"/>
                <w:szCs w:val="21"/>
              </w:rPr>
              <w:t xml:space="preserve"> </w:t>
            </w:r>
            <w:r w:rsidRPr="00377817">
              <w:rPr>
                <w:rFonts w:ascii="Arial" w:hAnsi="Arial" w:cs="Arial"/>
                <w:szCs w:val="21"/>
              </w:rPr>
              <w:t>证监会</w:t>
            </w:r>
            <w:r w:rsidRPr="00377817">
              <w:rPr>
                <w:rFonts w:ascii="Arial" w:hAnsi="Arial" w:cs="Arial"/>
                <w:szCs w:val="21"/>
              </w:rPr>
              <w:t xml:space="preserve"> </w:t>
            </w:r>
            <w:r w:rsidRPr="00377817">
              <w:rPr>
                <w:rFonts w:ascii="Arial" w:hAnsi="Arial" w:cs="Arial"/>
                <w:szCs w:val="21"/>
              </w:rPr>
              <w:t>社保基金会关于豁免国有创业投资机构和国有创业投资引导基金国有股转持义务有关问题的通知》（财企〔</w:t>
            </w:r>
            <w:r w:rsidRPr="00377817">
              <w:rPr>
                <w:rFonts w:ascii="Arial" w:hAnsi="Arial" w:cs="Arial"/>
                <w:szCs w:val="21"/>
              </w:rPr>
              <w:t>2010</w:t>
            </w:r>
            <w:r w:rsidRPr="00377817">
              <w:rPr>
                <w:rFonts w:ascii="Arial" w:hAnsi="Arial" w:cs="Arial"/>
                <w:szCs w:val="21"/>
              </w:rPr>
              <w:t>〕</w:t>
            </w:r>
            <w:r w:rsidRPr="00377817">
              <w:rPr>
                <w:rFonts w:ascii="Arial" w:hAnsi="Arial" w:cs="Arial"/>
                <w:szCs w:val="21"/>
              </w:rPr>
              <w:t>278</w:t>
            </w:r>
            <w:r w:rsidRPr="00377817">
              <w:rPr>
                <w:rFonts w:ascii="Arial" w:hAnsi="Arial" w:cs="Arial"/>
                <w:szCs w:val="21"/>
              </w:rPr>
              <w:t>号）</w:t>
            </w:r>
          </w:p>
        </w:tc>
        <w:tc>
          <w:tcPr>
            <w:tcW w:w="901" w:type="dxa"/>
            <w:vAlign w:val="center"/>
          </w:tcPr>
          <w:p w:rsidR="00741FCC" w:rsidRPr="00377817" w:rsidRDefault="0062179B" w:rsidP="006B7486">
            <w:pPr>
              <w:jc w:val="center"/>
              <w:rPr>
                <w:szCs w:val="21"/>
              </w:rPr>
            </w:pPr>
            <w:r w:rsidRPr="00377817">
              <w:rPr>
                <w:rFonts w:hint="eastAsia"/>
                <w:szCs w:val="21"/>
              </w:rPr>
              <w:t>取消</w:t>
            </w:r>
          </w:p>
        </w:tc>
      </w:tr>
      <w:tr w:rsidR="00741FCC" w:rsidRPr="00377817" w:rsidTr="00377817">
        <w:trPr>
          <w:jc w:val="center"/>
        </w:trPr>
        <w:tc>
          <w:tcPr>
            <w:tcW w:w="817" w:type="dxa"/>
            <w:vAlign w:val="center"/>
          </w:tcPr>
          <w:p w:rsidR="00741FCC" w:rsidRPr="00377817" w:rsidRDefault="0062179B" w:rsidP="006B7486">
            <w:pPr>
              <w:jc w:val="center"/>
              <w:rPr>
                <w:szCs w:val="21"/>
              </w:rPr>
            </w:pPr>
            <w:r w:rsidRPr="00377817">
              <w:rPr>
                <w:rFonts w:hint="eastAsia"/>
                <w:szCs w:val="21"/>
              </w:rPr>
              <w:t>4</w:t>
            </w:r>
          </w:p>
        </w:tc>
        <w:tc>
          <w:tcPr>
            <w:tcW w:w="3260" w:type="dxa"/>
            <w:vAlign w:val="center"/>
          </w:tcPr>
          <w:p w:rsidR="00741FCC" w:rsidRPr="00377817" w:rsidRDefault="00826A54" w:rsidP="006B7486">
            <w:pPr>
              <w:jc w:val="center"/>
              <w:rPr>
                <w:szCs w:val="21"/>
              </w:rPr>
            </w:pPr>
            <w:r w:rsidRPr="00377817">
              <w:rPr>
                <w:rFonts w:ascii="Arial" w:hAnsi="Arial" w:cs="Arial"/>
                <w:szCs w:val="21"/>
              </w:rPr>
              <w:t>政府采购代理</w:t>
            </w:r>
            <w:proofErr w:type="gramStart"/>
            <w:r w:rsidRPr="00377817">
              <w:rPr>
                <w:rFonts w:ascii="Arial" w:hAnsi="Arial" w:cs="Arial"/>
                <w:szCs w:val="21"/>
              </w:rPr>
              <w:t>机构甲级</w:t>
            </w:r>
            <w:proofErr w:type="gramEnd"/>
            <w:r w:rsidRPr="00377817">
              <w:rPr>
                <w:rFonts w:ascii="Arial" w:hAnsi="Arial" w:cs="Arial"/>
                <w:szCs w:val="21"/>
              </w:rPr>
              <w:t>资格认定</w:t>
            </w:r>
          </w:p>
        </w:tc>
        <w:tc>
          <w:tcPr>
            <w:tcW w:w="1134" w:type="dxa"/>
            <w:vAlign w:val="center"/>
          </w:tcPr>
          <w:p w:rsidR="00741FCC" w:rsidRPr="00377817" w:rsidRDefault="00826A54" w:rsidP="006B7486">
            <w:pPr>
              <w:jc w:val="center"/>
              <w:rPr>
                <w:szCs w:val="21"/>
              </w:rPr>
            </w:pPr>
            <w:r w:rsidRPr="00377817">
              <w:rPr>
                <w:rFonts w:hint="eastAsia"/>
                <w:szCs w:val="21"/>
              </w:rPr>
              <w:t>无</w:t>
            </w:r>
          </w:p>
        </w:tc>
        <w:tc>
          <w:tcPr>
            <w:tcW w:w="2410" w:type="dxa"/>
            <w:vAlign w:val="center"/>
          </w:tcPr>
          <w:p w:rsidR="00741FCC" w:rsidRPr="00377817" w:rsidRDefault="00826A54" w:rsidP="006B7486">
            <w:pPr>
              <w:jc w:val="center"/>
              <w:rPr>
                <w:szCs w:val="21"/>
              </w:rPr>
            </w:pPr>
            <w:r w:rsidRPr="00377817">
              <w:rPr>
                <w:rFonts w:ascii="Arial" w:hAnsi="Arial" w:cs="Arial"/>
                <w:szCs w:val="21"/>
              </w:rPr>
              <w:t>《中华人民共和国政府采购法》</w:t>
            </w:r>
            <w:r w:rsidRPr="00377817">
              <w:rPr>
                <w:rFonts w:ascii="Arial" w:hAnsi="Arial" w:cs="Arial"/>
                <w:szCs w:val="21"/>
              </w:rPr>
              <w:br/>
            </w:r>
            <w:r w:rsidRPr="00377817">
              <w:rPr>
                <w:rFonts w:ascii="Arial" w:hAnsi="Arial" w:cs="Arial"/>
                <w:szCs w:val="21"/>
              </w:rPr>
              <w:t>《政府采购代理机构资格认定办法》（财政部令第</w:t>
            </w:r>
            <w:r w:rsidRPr="00377817">
              <w:rPr>
                <w:rFonts w:ascii="Arial" w:hAnsi="Arial" w:cs="Arial"/>
                <w:szCs w:val="21"/>
              </w:rPr>
              <w:t>61</w:t>
            </w:r>
            <w:r w:rsidRPr="00377817">
              <w:rPr>
                <w:rFonts w:ascii="Arial" w:hAnsi="Arial" w:cs="Arial"/>
                <w:szCs w:val="21"/>
              </w:rPr>
              <w:t>号）</w:t>
            </w:r>
          </w:p>
        </w:tc>
        <w:tc>
          <w:tcPr>
            <w:tcW w:w="901" w:type="dxa"/>
            <w:vAlign w:val="center"/>
          </w:tcPr>
          <w:p w:rsidR="00741FCC" w:rsidRPr="00377817" w:rsidRDefault="0062179B" w:rsidP="006B7486">
            <w:pPr>
              <w:jc w:val="center"/>
              <w:rPr>
                <w:szCs w:val="21"/>
              </w:rPr>
            </w:pPr>
            <w:r w:rsidRPr="00377817">
              <w:rPr>
                <w:rFonts w:hint="eastAsia"/>
                <w:szCs w:val="21"/>
              </w:rPr>
              <w:t>取消</w:t>
            </w:r>
          </w:p>
        </w:tc>
      </w:tr>
      <w:tr w:rsidR="00741FCC" w:rsidRPr="00377817" w:rsidTr="00377817">
        <w:trPr>
          <w:trHeight w:val="932"/>
          <w:jc w:val="center"/>
        </w:trPr>
        <w:tc>
          <w:tcPr>
            <w:tcW w:w="817" w:type="dxa"/>
            <w:vAlign w:val="center"/>
          </w:tcPr>
          <w:p w:rsidR="00741FCC" w:rsidRPr="00377817" w:rsidRDefault="0062179B" w:rsidP="006B7486">
            <w:pPr>
              <w:jc w:val="center"/>
              <w:rPr>
                <w:szCs w:val="21"/>
              </w:rPr>
            </w:pPr>
            <w:r w:rsidRPr="00377817">
              <w:rPr>
                <w:rFonts w:hint="eastAsia"/>
                <w:szCs w:val="21"/>
              </w:rPr>
              <w:t>5</w:t>
            </w:r>
          </w:p>
        </w:tc>
        <w:tc>
          <w:tcPr>
            <w:tcW w:w="3260" w:type="dxa"/>
            <w:vAlign w:val="center"/>
          </w:tcPr>
          <w:p w:rsidR="00741FCC" w:rsidRPr="00377817" w:rsidRDefault="00826A54" w:rsidP="006B7486">
            <w:pPr>
              <w:jc w:val="center"/>
              <w:rPr>
                <w:szCs w:val="21"/>
              </w:rPr>
            </w:pPr>
            <w:r w:rsidRPr="00377817">
              <w:rPr>
                <w:rFonts w:ascii="Arial" w:hAnsi="Arial" w:cs="Arial"/>
                <w:szCs w:val="21"/>
              </w:rPr>
              <w:t>境外（包括港澳台）会计师事务所在境内设立常驻代表处审批</w:t>
            </w:r>
          </w:p>
        </w:tc>
        <w:tc>
          <w:tcPr>
            <w:tcW w:w="1134" w:type="dxa"/>
            <w:vAlign w:val="center"/>
          </w:tcPr>
          <w:p w:rsidR="00741FCC" w:rsidRPr="00377817" w:rsidRDefault="00826A54" w:rsidP="006B7486">
            <w:pPr>
              <w:jc w:val="center"/>
              <w:rPr>
                <w:szCs w:val="21"/>
              </w:rPr>
            </w:pPr>
            <w:r w:rsidRPr="00377817">
              <w:rPr>
                <w:rFonts w:ascii="Arial" w:hAnsi="Arial" w:cs="Arial"/>
                <w:szCs w:val="21"/>
              </w:rPr>
              <w:t>税务总局</w:t>
            </w:r>
          </w:p>
        </w:tc>
        <w:tc>
          <w:tcPr>
            <w:tcW w:w="2410" w:type="dxa"/>
            <w:vAlign w:val="center"/>
          </w:tcPr>
          <w:p w:rsidR="00741FCC" w:rsidRPr="00377817" w:rsidRDefault="00826A54" w:rsidP="006B7486">
            <w:pPr>
              <w:jc w:val="center"/>
              <w:rPr>
                <w:szCs w:val="21"/>
              </w:rPr>
            </w:pPr>
            <w:r w:rsidRPr="00377817">
              <w:rPr>
                <w:rFonts w:ascii="Arial" w:hAnsi="Arial" w:cs="Arial"/>
                <w:szCs w:val="21"/>
              </w:rPr>
              <w:t>《中华人民共和国注册会计师法》</w:t>
            </w:r>
          </w:p>
        </w:tc>
        <w:tc>
          <w:tcPr>
            <w:tcW w:w="901" w:type="dxa"/>
            <w:vAlign w:val="center"/>
          </w:tcPr>
          <w:p w:rsidR="00741FCC" w:rsidRPr="00377817" w:rsidRDefault="0062179B" w:rsidP="006B7486">
            <w:pPr>
              <w:jc w:val="center"/>
              <w:rPr>
                <w:szCs w:val="21"/>
              </w:rPr>
            </w:pPr>
            <w:r w:rsidRPr="00377817">
              <w:rPr>
                <w:rFonts w:hint="eastAsia"/>
                <w:szCs w:val="21"/>
              </w:rPr>
              <w:t>取消</w:t>
            </w:r>
          </w:p>
        </w:tc>
      </w:tr>
    </w:tbl>
    <w:p w:rsidR="00741FCC" w:rsidRDefault="00741FCC"/>
    <w:sectPr w:rsidR="00741FCC" w:rsidSect="003778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1FCC"/>
    <w:rsid w:val="00105627"/>
    <w:rsid w:val="002E7693"/>
    <w:rsid w:val="00377817"/>
    <w:rsid w:val="0062179B"/>
    <w:rsid w:val="006B7486"/>
    <w:rsid w:val="00741FCC"/>
    <w:rsid w:val="00826A54"/>
    <w:rsid w:val="00C343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F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DAC2-3C20-4D67-86CC-1B4BD41F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7</cp:revision>
  <dcterms:created xsi:type="dcterms:W3CDTF">2015-03-24T01:15:00Z</dcterms:created>
  <dcterms:modified xsi:type="dcterms:W3CDTF">2015-03-24T01:20:00Z</dcterms:modified>
</cp:coreProperties>
</file>