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C0" w:rsidRPr="001602C0" w:rsidRDefault="001602C0" w:rsidP="001602C0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1602C0">
        <w:rPr>
          <w:rFonts w:ascii="Arial" w:eastAsia="宋体" w:hAnsi="Arial" w:cs="Arial"/>
          <w:kern w:val="0"/>
          <w:sz w:val="20"/>
          <w:szCs w:val="20"/>
        </w:rPr>
        <w:t>附件</w:t>
      </w:r>
      <w:r w:rsidRPr="001602C0">
        <w:rPr>
          <w:rFonts w:ascii="Arial" w:eastAsia="宋体" w:hAnsi="Arial" w:cs="Arial"/>
          <w:kern w:val="0"/>
          <w:sz w:val="20"/>
          <w:szCs w:val="20"/>
        </w:rPr>
        <w:t>4</w:t>
      </w:r>
    </w:p>
    <w:p w:rsidR="001602C0" w:rsidRPr="001602C0" w:rsidRDefault="001602C0" w:rsidP="001602C0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kern w:val="0"/>
          <w:sz w:val="20"/>
          <w:szCs w:val="20"/>
        </w:rPr>
      </w:pPr>
      <w:r w:rsidRPr="001602C0">
        <w:rPr>
          <w:rFonts w:ascii="Arial" w:eastAsia="宋体" w:hAnsi="Arial" w:cs="Arial"/>
          <w:b/>
          <w:bCs/>
          <w:kern w:val="0"/>
          <w:sz w:val="20"/>
        </w:rPr>
        <w:t>国务院决定改为后置审批的工商登记前置审批事项目录</w:t>
      </w:r>
    </w:p>
    <w:p w:rsidR="001602C0" w:rsidRPr="001602C0" w:rsidRDefault="001602C0" w:rsidP="001602C0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kern w:val="0"/>
          <w:sz w:val="20"/>
          <w:szCs w:val="20"/>
        </w:rPr>
      </w:pPr>
      <w:r w:rsidRPr="001602C0">
        <w:rPr>
          <w:rFonts w:ascii="Arial" w:eastAsia="宋体" w:hAnsi="Arial" w:cs="Arial"/>
          <w:b/>
          <w:bCs/>
          <w:kern w:val="0"/>
          <w:sz w:val="20"/>
        </w:rPr>
        <w:t>（共计</w:t>
      </w:r>
      <w:r w:rsidRPr="001602C0">
        <w:rPr>
          <w:rFonts w:ascii="Arial" w:eastAsia="宋体" w:hAnsi="Arial" w:cs="Arial"/>
          <w:b/>
          <w:bCs/>
          <w:kern w:val="0"/>
          <w:sz w:val="20"/>
        </w:rPr>
        <w:t>21</w:t>
      </w:r>
      <w:r w:rsidRPr="001602C0">
        <w:rPr>
          <w:rFonts w:ascii="Arial" w:eastAsia="宋体" w:hAnsi="Arial" w:cs="Arial"/>
          <w:b/>
          <w:bCs/>
          <w:kern w:val="0"/>
          <w:sz w:val="20"/>
        </w:rPr>
        <w:t>项）</w:t>
      </w:r>
      <w:r w:rsidRPr="001602C0">
        <w:rPr>
          <w:rFonts w:ascii="Arial" w:eastAsia="宋体" w:hAnsi="Arial" w:cs="Arial"/>
          <w:kern w:val="0"/>
          <w:sz w:val="20"/>
          <w:szCs w:val="20"/>
        </w:rPr>
        <w:t xml:space="preserve">　　</w:t>
      </w:r>
    </w:p>
    <w:tbl>
      <w:tblPr>
        <w:tblW w:w="945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4"/>
        <w:gridCol w:w="1463"/>
        <w:gridCol w:w="2180"/>
        <w:gridCol w:w="5203"/>
      </w:tblGrid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序号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项目名称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实施机关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设定依据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外商投资经营电信业务审批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工业和信息化部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《外商投资电信企业管理规定》（国务院令第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534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2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开办农药生产企业审批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工业和信息化部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《农药管理条例》（国务院令第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326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3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食盐定点生产、碘盐加工企业许可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省级人民政府盐业行政主管部门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《食盐专营办法》（国务院令第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197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《食盐加碘消除碘缺乏危害管理条例》（国务院令第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163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《国务院关于取消和下放一批行政审批项目的决定》（国发〔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2013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44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4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电信业务经营许可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工业和信息化部或省、自治区、直辖市电信管理机构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《中华人民共和国电信条例》（国务院令第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291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5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因私出入境中介服务机构资格认定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省级人民政府公安机关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《国务院对确需保留的行政审批项目设定行政许可的决定》（国务院令第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《国务院关于第六批取消和调整行政审批项目的决定》（国发〔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2012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52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《国务院关于加强出入境中介活动管理的通知》（国发〔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2000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25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6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公章</w:t>
            </w:r>
            <w:proofErr w:type="gramStart"/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刻制业</w:t>
            </w:r>
            <w:proofErr w:type="gramEnd"/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特种行业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许可证核发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县级以上地方人民政府公安机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关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 xml:space="preserve">　　《国务院对确需保留的行政审批项目设定行政许可的决定》（国务院令第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412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《国务院关于第三批取消和调整行政审批项目的决定》（国发〔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2004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16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《印铸刻字业暂行管理规则》（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1951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年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8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月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15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日公安部发布）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7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典当业特种行业许可证核发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县级以上地方人民政府公安机关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《国务院对确需保留的行政审批项目设定行政许可的决定》（国务院令第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《典当管理办法》（商务部、公安部令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2005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年第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8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8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旅馆业特种行业许可证核发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县级以上地方人民政府公安机关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《国务院对确需保留的行政审批项目设定行政许可的决定》（国务院令第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《旅馆业治安管理办法》（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1987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年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11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月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10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日公安部发布）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9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燃气经营许可证核发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县级以上地方人民政府燃气管理部门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《城镇燃气管理条例》（国务院令第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583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10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出租汽车经营资格证核发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县级以上地方人民政府交通运输行政主管部门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《国务院对确需保留的行政审批项目设定行政许可的决定》（国务院令第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11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道路客运经营许可证核发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设区的市级和县级人民政府道路运输管理机构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《中华人民共和国道路运输条例》（国务院令第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406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12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道路货运经营许可证核发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设区的市级和县级人民政府道路运输管理机构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《中华人民共和国道路运输条例》（国务院令第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406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13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广播电视节目制作经营单位设立审批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新闻出版广电总局或省级人民政府新闻出版广电行政主管部门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《广播电视管理条例》（国务院令第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228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14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内资电影制片单位设立审批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省级人民政府新闻出版广电行政主管部门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《电影管理条例》（国务院令第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342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15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电影制片单位以外的单位独立从事电影摄制业务审批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省级人民政府新闻出版广电行政主管部门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《电影管理条例》（国务院令第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342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《国务院关于第六批取消和调整行政审批项目的决定》（国发〔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2012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52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16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经营高危险性体育项目许可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省级以下地方人民政府体育行政主管部门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《全民健身条例》（国务院令第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560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17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期货公司设立审批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证监会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《期货交易管理条例》（国务院令第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627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18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公</w:t>
            </w:r>
            <w:proofErr w:type="gramStart"/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募基金</w:t>
            </w:r>
            <w:proofErr w:type="gramEnd"/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管理公司设立审批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证监会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《中华人民共和国证券投资基金法》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19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证券金融公司设立审批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证监会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《证券公司监督管理条例》（国务院令第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522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《转融通业务监督管理试行办法》（证监会令第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75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20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保险资产管理公司及其分支机构设立审批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保监会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《国务院对确需保留的行政审批项目设定行政许可的决定》（国务院令第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  <w:tr w:rsidR="001602C0" w:rsidRPr="001602C0" w:rsidTr="001602C0">
        <w:trPr>
          <w:tblCellSpacing w:w="7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21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保险集团公司及保险控股公司设立审批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保监会</w:t>
            </w:r>
          </w:p>
        </w:tc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602C0" w:rsidRPr="001602C0" w:rsidRDefault="001602C0" w:rsidP="001602C0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《国务院对确需保留的行政审批项目设定行政许可的决定》（国务院令第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412</w:t>
            </w:r>
            <w:r w:rsidRPr="001602C0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</w:tr>
    </w:tbl>
    <w:p w:rsidR="001602C0" w:rsidRPr="001602C0" w:rsidRDefault="001602C0" w:rsidP="001602C0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1602C0">
        <w:rPr>
          <w:rFonts w:ascii="Arial" w:eastAsia="宋体" w:hAnsi="Arial" w:cs="Arial"/>
          <w:kern w:val="0"/>
          <w:sz w:val="20"/>
          <w:szCs w:val="20"/>
        </w:rPr>
        <w:t xml:space="preserve">　　</w:t>
      </w:r>
    </w:p>
    <w:p w:rsidR="00047A32" w:rsidRPr="001602C0" w:rsidRDefault="00047A32"/>
    <w:sectPr w:rsidR="00047A32" w:rsidRPr="001602C0" w:rsidSect="00047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02C0"/>
    <w:rsid w:val="00047A32"/>
    <w:rsid w:val="0016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0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2015-03-16T02:38:00Z</dcterms:created>
  <dcterms:modified xsi:type="dcterms:W3CDTF">2015-03-16T02:40:00Z</dcterms:modified>
</cp:coreProperties>
</file>